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z-20251228.htm"/>
      <w:bookmarkStart w:id="1" w:name="ksdpz20251228"/>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24"/>
        </w:rPr>
        <w:t>UNITED STATES</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FORM 10-K</w:t>
      </w:r>
    </w:p>
    <w:p>
      <w:pPr>
        <w:pStyle w:val="TextBody"/>
        <w:bidi w:val="0"/>
        <w:jc w:val="left"/>
        <w:rPr>
          <w:rFonts w:ascii="Times New Roman" w:hAnsi="Times New Roman"/>
          <w:color w:val="000000"/>
          <w:sz w:val="16"/>
        </w:rPr>
      </w:pPr>
      <w:r>
        <w:rPr>
          <w:rFonts w:ascii="Times New Roman" w:hAnsi="Times New Roman"/>
          <w:color w:val="000000"/>
          <w:sz w:val="16"/>
        </w:rPr>
        <w:t>(Mark One)</w:t>
      </w:r>
    </w:p>
    <w:p>
      <w:pPr>
        <w:pStyle w:val="TextBody"/>
        <w:bidi w:val="0"/>
        <w:jc w:val="left"/>
        <w:rPr>
          <w:rFonts w:ascii="Times New Roman" w:hAnsi="Times New Roman"/>
          <w:sz w:val="20"/>
        </w:rPr>
      </w:pPr>
      <w:r>
        <w:rPr>
          <w:rFonts w:ascii="Times New Roman" w:hAnsi="Times New Roman"/>
          <w:color w:val="000000"/>
          <w:sz w:val="20"/>
        </w:rPr>
        <w:t xml:space="preserve">[X] </w:t>
      </w:r>
      <w:r>
        <w:rPr>
          <w:rFonts w:ascii="Times New Roman" w:hAnsi="Times New Roman"/>
          <w:b/>
          <w:color w:val="000000"/>
          <w:sz w:val="20"/>
        </w:rPr>
        <w:t>ANNUAL REPORT PURSUANT TO SECTION 13 OR 15(d) OF THE SECURITIES EXCHANGE ACT OF 1934</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 the fiscal year ended December 28, 2025</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 ] </w:t>
      </w:r>
      <w:r>
        <w:rPr>
          <w:rFonts w:ascii="Times New Roman" w:hAnsi="Times New Roman"/>
          <w:b/>
          <w:color w:val="000000"/>
          <w:sz w:val="20"/>
        </w:rPr>
        <w:t>TRANSITION REPORT PURSUANT TO SECTION 13 OR 15(d) OF THE SECURITIES EXCHANGE ACT OF 1934</w:t>
      </w:r>
    </w:p>
    <w:p>
      <w:pPr>
        <w:pStyle w:val="TextBody"/>
        <w:bidi w:val="0"/>
        <w:jc w:val="center"/>
        <w:rPr>
          <w:rFonts w:ascii="Times New Roman" w:hAnsi="Times New Roman"/>
          <w:sz w:val="20"/>
        </w:rPr>
      </w:pPr>
      <w:r>
        <w:rPr>
          <w:rFonts w:ascii="Times New Roman" w:hAnsi="Times New Roman"/>
          <w:b/>
          <w:color w:val="000000"/>
          <w:sz w:val="20"/>
        </w:rPr>
        <w:t>Commission File Number</w:t>
      </w:r>
      <w:r>
        <w:rPr>
          <w:rFonts w:ascii="Times New Roman" w:hAnsi="Times New Roman"/>
          <w:color w:val="000000"/>
          <w:sz w:val="20"/>
        </w:rPr>
        <w:t xml:space="preserve"> </w:t>
      </w:r>
      <w:r>
        <w:rPr>
          <w:rFonts w:ascii="Times New Roman" w:hAnsi="Times New Roman"/>
          <w:b/>
          <w:color w:val="000000"/>
          <w:sz w:val="20"/>
        </w:rPr>
        <w:t>001-32242</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Domino’s Pizza,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bidi w:val="0"/>
        <w:jc w:val="center"/>
        <w:rPr/>
      </w:pPr>
      <w:r>
        <w:rPr/>
        <w:t> </w:t>
      </w:r>
    </w:p>
    <w:tbl>
      <w:tblPr>
        <w:tblW w:w="4453" w:type="dxa"/>
        <w:jc w:val="left"/>
        <w:tblInd w:w="0" w:type="dxa"/>
        <w:tblLayout w:type="fixed"/>
        <w:tblCellMar>
          <w:top w:w="28" w:type="dxa"/>
          <w:left w:w="28" w:type="dxa"/>
          <w:bottom w:w="28" w:type="dxa"/>
          <w:right w:w="28" w:type="dxa"/>
        </w:tblCellMar>
      </w:tblPr>
      <w:tblGrid>
        <w:gridCol w:w="2866"/>
        <w:gridCol w:w="146"/>
        <w:gridCol w:w="144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DELAWARE</w:t>
              <w:br/>
            </w:r>
            <w:r>
              <w:rPr>
                <w:rFonts w:ascii="Times New Roman" w:hAnsi="Times New Roman"/>
                <w:color w:val="000000"/>
                <w:sz w:val="16"/>
              </w:rPr>
              <w:t>(State or other jurisdiction of</w:t>
              <w:b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20"/>
              </w:rPr>
              <w:t>38-2511577</w:t>
              <w:br/>
            </w:r>
            <w:r>
              <w:rPr>
                <w:rFonts w:ascii="Times New Roman" w:hAnsi="Times New Roman"/>
                <w:color w:val="000000"/>
                <w:sz w:val="16"/>
              </w:rPr>
              <w:t>(I.R.S. Employer</w:t>
              <w:br/>
              <w:t>Identification No.)</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20"/>
              </w:rPr>
              <w:t>30 Frank Lloyd Wright Drive</w:t>
              <w:br/>
              <w:t>Ann Arbor, Michigan</w:t>
              <w:br/>
            </w:r>
            <w:r>
              <w:rPr>
                <w:rFonts w:ascii="Times New Roman" w:hAnsi="Times New Roman"/>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20"/>
              </w:rPr>
              <w:t>48105</w:t>
              <w:br/>
            </w:r>
            <w:r>
              <w:rPr>
                <w:rFonts w:ascii="Times New Roman" w:hAnsi="Times New Roman"/>
                <w:color w:val="000000"/>
                <w:sz w:val="16"/>
              </w:rPr>
              <w:t>(Zip Code)</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0"/>
        </w:rPr>
        <w:t xml:space="preserve">Registrant’s telephone number, including area code </w:t>
      </w:r>
      <w:r>
        <w:rPr>
          <w:rFonts w:ascii="Times New Roman" w:hAnsi="Times New Roman"/>
          <w:b/>
          <w:color w:val="000000"/>
          <w:sz w:val="20"/>
        </w:rPr>
        <w:t>(734) 930-3030</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tbl>
      <w:tblPr>
        <w:tblW w:w="9963" w:type="dxa"/>
        <w:jc w:val="left"/>
        <w:tblInd w:w="0" w:type="dxa"/>
        <w:tblLayout w:type="fixed"/>
        <w:tblCellMar>
          <w:top w:w="28" w:type="dxa"/>
          <w:left w:w="28" w:type="dxa"/>
          <w:bottom w:w="28" w:type="dxa"/>
          <w:right w:w="28" w:type="dxa"/>
        </w:tblCellMar>
      </w:tblPr>
      <w:tblGrid>
        <w:gridCol w:w="4441"/>
        <w:gridCol w:w="1501"/>
        <w:gridCol w:w="4021"/>
      </w:tblGrid>
      <w:tr>
        <w:trPr/>
        <w:tc>
          <w:tcPr>
            <w:tcW w:w="444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44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Title of Each Class</w:t>
            </w:r>
          </w:p>
        </w:tc>
        <w:tc>
          <w:tcPr>
            <w:tcW w:w="150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Trading Symbol</w:t>
            </w:r>
          </w:p>
        </w:tc>
        <w:tc>
          <w:tcPr>
            <w:tcW w:w="402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Name of Each Exchange on Which Registered</w:t>
            </w:r>
          </w:p>
        </w:tc>
      </w:tr>
      <w:tr>
        <w:trPr/>
        <w:tc>
          <w:tcPr>
            <w:tcW w:w="44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Domino’s Pizza, Inc. Common Stock, $0.01 par value</w:t>
            </w:r>
          </w:p>
        </w:tc>
        <w:tc>
          <w:tcPr>
            <w:tcW w:w="150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DPZ</w:t>
            </w:r>
          </w:p>
        </w:tc>
        <w:tc>
          <w:tcPr>
            <w:tcW w:w="402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Securities registered pursuant to Section 12(g) of the Act:</w:t>
      </w:r>
      <w:r>
        <w:rPr>
          <w:rFonts w:ascii="Times New Roman" w:hAnsi="Times New Roman"/>
          <w:color w:val="000000"/>
          <w:sz w:val="20"/>
        </w:rPr>
        <w:t xml:space="preserve"> </w:t>
      </w:r>
      <w:r>
        <w:rPr>
          <w:rFonts w:ascii="Times New Roman" w:hAnsi="Times New Roman"/>
          <w:color w:val="000000"/>
          <w:sz w:val="20"/>
          <w:u w:val="single"/>
        </w:rPr>
        <w:t>None</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if the registrant is a well-known seasoned issuer, as defined in Rule 405 of the Securities Act:</w:t>
      </w:r>
    </w:p>
    <w:p>
      <w:pPr>
        <w:pStyle w:val="TextBody"/>
        <w:bidi w:val="0"/>
        <w:jc w:val="left"/>
        <w:rPr>
          <w:rFonts w:ascii="Times New Roman" w:hAnsi="Times New Roman"/>
          <w:color w:val="000000"/>
          <w:sz w:val="20"/>
        </w:rPr>
      </w:pPr>
      <w:r>
        <w:rPr>
          <w:rFonts w:ascii="Times New Roman" w:hAnsi="Times New Roman"/>
          <w:color w:val="000000"/>
          <w:sz w:val="20"/>
        </w:rPr>
        <w:t>Yes [X] No [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if the registrant is not required to file reports pursuant to Section 13 or Section 15(d) of the Act:</w:t>
      </w:r>
    </w:p>
    <w:p>
      <w:pPr>
        <w:pStyle w:val="TextBody"/>
        <w:bidi w:val="0"/>
        <w:jc w:val="left"/>
        <w:rPr>
          <w:rFonts w:ascii="Times New Roman" w:hAnsi="Times New Roman"/>
          <w:color w:val="000000"/>
          <w:sz w:val="20"/>
        </w:rPr>
      </w:pPr>
      <w:r>
        <w:rPr>
          <w:rFonts w:ascii="Times New Roman" w:hAnsi="Times New Roman"/>
          <w:color w:val="000000"/>
          <w:sz w:val="20"/>
        </w:rPr>
        <w:t>Yes [ ] No [X]</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jc w:val="left"/>
        <w:rPr>
          <w:rFonts w:ascii="Times New Roman" w:hAnsi="Times New Roman"/>
          <w:color w:val="000000"/>
          <w:sz w:val="20"/>
        </w:rPr>
      </w:pPr>
      <w:r>
        <w:rPr>
          <w:rFonts w:ascii="Times New Roman" w:hAnsi="Times New Roman"/>
          <w:color w:val="000000"/>
          <w:sz w:val="20"/>
        </w:rPr>
        <w:t>Yes [X] No [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jc w:val="left"/>
        <w:rPr>
          <w:rFonts w:ascii="Times New Roman" w:hAnsi="Times New Roman"/>
          <w:color w:val="000000"/>
          <w:sz w:val="20"/>
        </w:rPr>
      </w:pPr>
      <w:r>
        <w:rPr>
          <w:rFonts w:ascii="Times New Roman" w:hAnsi="Times New Roman"/>
          <w:color w:val="000000"/>
          <w:sz w:val="20"/>
        </w:rPr>
        <w:t>Yes [X] No [ ]</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Large accelerated filer [X] Accelerated filer [ ]</w:t>
      </w:r>
    </w:p>
    <w:p>
      <w:pPr>
        <w:pStyle w:val="TextBody"/>
        <w:bidi w:val="0"/>
        <w:jc w:val="left"/>
        <w:rPr>
          <w:rFonts w:ascii="Times New Roman" w:hAnsi="Times New Roman"/>
          <w:color w:val="000000"/>
          <w:sz w:val="20"/>
        </w:rPr>
      </w:pPr>
      <w:r>
        <w:rPr>
          <w:rFonts w:ascii="Times New Roman" w:hAnsi="Times New Roman"/>
          <w:color w:val="000000"/>
          <w:sz w:val="20"/>
        </w:rPr>
        <w:t xml:space="preserve">Non-accelerated filer [ ] Smaller reporting company [ ] </w:t>
      </w:r>
    </w:p>
    <w:p>
      <w:pPr>
        <w:pStyle w:val="TextBody"/>
        <w:bidi w:val="0"/>
        <w:jc w:val="left"/>
        <w:rPr>
          <w:rFonts w:ascii="Times New Roman" w:hAnsi="Times New Roman"/>
          <w:color w:val="000000"/>
          <w:sz w:val="20"/>
        </w:rPr>
      </w:pPr>
      <w:r>
        <w:rPr>
          <w:rFonts w:ascii="Times New Roman" w:hAnsi="Times New Roman"/>
          <w:color w:val="000000"/>
          <w:sz w:val="20"/>
        </w:rPr>
        <w:t xml:space="preserve">Emerging growth company [ ]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Act): Yes [ ] No [X]</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aggregate market value of the voting and non-voting common stock held by non-affiliates of Domino’s Pizza, Inc. as of June 15, 2025 computed by reference to the closing price of Domino’s Pizza, Inc.’s common stock on the Nasdaq Stock Market LLC on such date was $15,285,523,540.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February 16, 2026, Domino’s Pizza, Inc. had 33,628,897 shares of common stock, par value $0.01 per share, outstanding.</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Documents incorporated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Portions of the definitive proxy statement to be furnished to shareholders of Domino’s Pizza, Inc. in connection with the annual meeting of shareholders to be held on April 21, 2026 are incorporated by reference into Part III.</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8"/>
          <w:u w:val="single"/>
        </w:rPr>
      </w:pPr>
      <w:r>
        <w:rPr>
          <w:rFonts w:ascii="Times New Roman" w:hAnsi="Times New Roman"/>
          <w:b/>
          <w:color w:val="000000"/>
          <w:sz w:val="28"/>
          <w:u w:val="single"/>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4"/>
        <w:gridCol w:w="8546"/>
        <w:gridCol w:w="875"/>
      </w:tblGrid>
      <w:tr>
        <w:trPr/>
        <w:tc>
          <w:tcPr>
            <w:tcW w:w="784" w:type="dxa"/>
            <w:tcBorders/>
            <w:vAlign w:val="center"/>
          </w:tcPr>
          <w:p>
            <w:pPr>
              <w:pStyle w:val="TableContents"/>
              <w:bidi w:val="0"/>
              <w:spacing w:before="0" w:after="283"/>
              <w:jc w:val="left"/>
              <w:rPr>
                <w:sz w:val="4"/>
                <w:szCs w:val="4"/>
              </w:rPr>
            </w:pPr>
            <w:r>
              <w:rPr>
                <w:sz w:val="4"/>
                <w:szCs w:val="4"/>
              </w:rPr>
            </w:r>
          </w:p>
        </w:tc>
        <w:tc>
          <w:tcPr>
            <w:tcW w:w="854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854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color w:val="000000"/>
                <w:sz w:val="20"/>
              </w:rPr>
              <w:t>Part I</w:t>
            </w:r>
          </w:p>
        </w:tc>
        <w:tc>
          <w:tcPr>
            <w:tcW w:w="8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Page No.</w:t>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85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546" w:type="dxa"/>
            <w:tcBorders/>
            <w:tcMar>
              <w:top w:w="0" w:type="dxa"/>
              <w:left w:w="0" w:type="dxa"/>
              <w:bottom w:w="0" w:type="dxa"/>
              <w:right w:w="0" w:type="dxa"/>
            </w:tcMar>
            <w:vAlign w:val="center"/>
          </w:tcPr>
          <w:p>
            <w:pPr>
              <w:pStyle w:val="TableContents"/>
              <w:bidi w:val="0"/>
              <w:spacing w:before="0" w:after="283"/>
              <w:jc w:val="left"/>
              <w:rPr/>
            </w:pPr>
            <w:hyperlink w:anchor="item1_business">
              <w:r>
                <w:rPr>
                  <w:rStyle w:val="InternetLink"/>
                  <w:rFonts w:ascii="Times New Roman" w:hAnsi="Times New Roman"/>
                  <w:color w:val="0000FF"/>
                  <w:sz w:val="20"/>
                  <w:u w:val="single"/>
                </w:rPr>
                <w:t>Business.</w:t>
              </w:r>
            </w:hyperlink>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546" w:type="dxa"/>
            <w:tcBorders/>
            <w:tcMar>
              <w:top w:w="0" w:type="dxa"/>
              <w:left w:w="0" w:type="dxa"/>
              <w:bottom w:w="0" w:type="dxa"/>
              <w:right w:w="0" w:type="dxa"/>
            </w:tcMar>
            <w:vAlign w:val="center"/>
          </w:tcPr>
          <w:p>
            <w:pPr>
              <w:pStyle w:val="TableContents"/>
              <w:bidi w:val="0"/>
              <w:spacing w:before="0" w:after="283"/>
              <w:jc w:val="left"/>
              <w:rPr/>
            </w:pPr>
            <w:hyperlink w:anchor="item1a_riskfactors">
              <w:r>
                <w:rPr>
                  <w:rStyle w:val="InternetLink"/>
                  <w:rFonts w:ascii="Times New Roman" w:hAnsi="Times New Roman"/>
                  <w:color w:val="0000FF"/>
                  <w:sz w:val="20"/>
                  <w:u w:val="single"/>
                </w:rPr>
                <w:t>Risk Factors.</w:t>
              </w:r>
            </w:hyperlink>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546" w:type="dxa"/>
            <w:tcBorders/>
            <w:tcMar>
              <w:top w:w="0" w:type="dxa"/>
              <w:left w:w="0" w:type="dxa"/>
              <w:bottom w:w="0" w:type="dxa"/>
              <w:right w:w="0" w:type="dxa"/>
            </w:tcMar>
            <w:vAlign w:val="center"/>
          </w:tcPr>
          <w:p>
            <w:pPr>
              <w:pStyle w:val="TableContents"/>
              <w:bidi w:val="0"/>
              <w:spacing w:before="0" w:after="283"/>
              <w:jc w:val="left"/>
              <w:rPr/>
            </w:pPr>
            <w:hyperlink w:anchor="item1b_unresolved_staff_comments">
              <w:r>
                <w:rPr>
                  <w:rStyle w:val="InternetLink"/>
                  <w:rFonts w:ascii="Times New Roman" w:hAnsi="Times New Roman"/>
                  <w:color w:val="0000FF"/>
                  <w:sz w:val="20"/>
                  <w:u w:val="single"/>
                </w:rPr>
                <w:t>Unresolved Staff Comments.</w:t>
              </w:r>
            </w:hyperlink>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546" w:type="dxa"/>
            <w:tcBorders/>
            <w:tcMar>
              <w:top w:w="0" w:type="dxa"/>
              <w:left w:w="0" w:type="dxa"/>
              <w:bottom w:w="0" w:type="dxa"/>
              <w:right w:w="0" w:type="dxa"/>
            </w:tcMar>
            <w:vAlign w:val="center"/>
          </w:tcPr>
          <w:p>
            <w:pPr>
              <w:pStyle w:val="TableContents"/>
              <w:bidi w:val="0"/>
              <w:spacing w:before="0" w:after="283"/>
              <w:jc w:val="left"/>
              <w:rPr/>
            </w:pPr>
            <w:hyperlink w:anchor="item1c_cybersecurity">
              <w:r>
                <w:rPr>
                  <w:rStyle w:val="InternetLink"/>
                  <w:rFonts w:ascii="Times New Roman" w:hAnsi="Times New Roman"/>
                  <w:color w:val="0000FF"/>
                  <w:sz w:val="20"/>
                  <w:u w:val="single"/>
                </w:rPr>
                <w:t>Cybersecurity.</w:t>
              </w:r>
            </w:hyperlink>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546" w:type="dxa"/>
            <w:tcBorders/>
            <w:tcMar>
              <w:top w:w="0" w:type="dxa"/>
              <w:left w:w="0" w:type="dxa"/>
              <w:bottom w:w="0" w:type="dxa"/>
              <w:right w:w="0" w:type="dxa"/>
            </w:tcMar>
            <w:vAlign w:val="center"/>
          </w:tcPr>
          <w:p>
            <w:pPr>
              <w:pStyle w:val="TableContents"/>
              <w:bidi w:val="0"/>
              <w:spacing w:before="0" w:after="283"/>
              <w:jc w:val="left"/>
              <w:rPr/>
            </w:pPr>
            <w:hyperlink w:anchor="item2_properties">
              <w:r>
                <w:rPr>
                  <w:rStyle w:val="InternetLink"/>
                  <w:rFonts w:ascii="Times New Roman" w:hAnsi="Times New Roman"/>
                  <w:color w:val="0000FF"/>
                  <w:sz w:val="20"/>
                  <w:u w:val="single"/>
                </w:rPr>
                <w:t>Properties.</w:t>
              </w:r>
            </w:hyperlink>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546" w:type="dxa"/>
            <w:tcBorders/>
            <w:tcMar>
              <w:top w:w="0" w:type="dxa"/>
              <w:left w:w="0" w:type="dxa"/>
              <w:bottom w:w="0" w:type="dxa"/>
              <w:right w:w="0" w:type="dxa"/>
            </w:tcMar>
            <w:vAlign w:val="center"/>
          </w:tcPr>
          <w:p>
            <w:pPr>
              <w:pStyle w:val="TableContents"/>
              <w:bidi w:val="0"/>
              <w:spacing w:before="0" w:after="283"/>
              <w:jc w:val="left"/>
              <w:rPr/>
            </w:pPr>
            <w:hyperlink w:anchor="item3_legal_proceedings">
              <w:r>
                <w:rPr>
                  <w:rStyle w:val="InternetLink"/>
                  <w:rFonts w:ascii="Times New Roman" w:hAnsi="Times New Roman"/>
                  <w:color w:val="0000FF"/>
                  <w:sz w:val="20"/>
                  <w:u w:val="single"/>
                </w:rPr>
                <w:t>Legal Proceedings.</w:t>
              </w:r>
            </w:hyperlink>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546" w:type="dxa"/>
            <w:tcBorders/>
            <w:tcMar>
              <w:top w:w="0" w:type="dxa"/>
              <w:left w:w="0" w:type="dxa"/>
              <w:bottom w:w="0" w:type="dxa"/>
              <w:right w:w="0" w:type="dxa"/>
            </w:tcMar>
            <w:vAlign w:val="center"/>
          </w:tcPr>
          <w:p>
            <w:pPr>
              <w:pStyle w:val="TableContents"/>
              <w:bidi w:val="0"/>
              <w:spacing w:before="0" w:after="283"/>
              <w:jc w:val="left"/>
              <w:rPr/>
            </w:pPr>
            <w:hyperlink w:anchor="item4_mine_safety_disclosures">
              <w:r>
                <w:rPr>
                  <w:rStyle w:val="InternetLink"/>
                  <w:rFonts w:ascii="Times New Roman" w:hAnsi="Times New Roman"/>
                  <w:color w:val="0000FF"/>
                  <w:sz w:val="20"/>
                  <w:u w:val="single"/>
                </w:rPr>
                <w:t>Mine Safety Disclosures.</w:t>
              </w:r>
            </w:hyperlink>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4A.</w:t>
            </w:r>
          </w:p>
        </w:tc>
        <w:tc>
          <w:tcPr>
            <w:tcW w:w="8546" w:type="dxa"/>
            <w:tcBorders/>
            <w:tcMar>
              <w:top w:w="0" w:type="dxa"/>
              <w:left w:w="0" w:type="dxa"/>
              <w:bottom w:w="0" w:type="dxa"/>
              <w:right w:w="0" w:type="dxa"/>
            </w:tcMar>
            <w:vAlign w:val="center"/>
          </w:tcPr>
          <w:p>
            <w:pPr>
              <w:pStyle w:val="TableContents"/>
              <w:bidi w:val="0"/>
              <w:spacing w:before="0" w:after="283"/>
              <w:jc w:val="left"/>
              <w:rPr/>
            </w:pPr>
            <w:hyperlink w:anchor="item4a_executiveofficers_registrant">
              <w:r>
                <w:rPr>
                  <w:rStyle w:val="InternetLink"/>
                  <w:rFonts w:ascii="Times New Roman" w:hAnsi="Times New Roman"/>
                  <w:color w:val="0000FF"/>
                  <w:sz w:val="20"/>
                  <w:u w:val="single"/>
                </w:rPr>
                <w:t>Executive Officers of the Registrant</w:t>
              </w:r>
            </w:hyperlink>
            <w:r>
              <w:rPr>
                <w:rFonts w:ascii="Times New Roman" w:hAnsi="Times New Roman"/>
                <w:color w:val="000000"/>
                <w:sz w:val="20"/>
              </w:rPr>
              <w:t>.</w:t>
            </w:r>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85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8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w:t>
            </w:r>
          </w:p>
        </w:tc>
        <w:tc>
          <w:tcPr>
            <w:tcW w:w="87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85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546" w:type="dxa"/>
            <w:tcBorders/>
            <w:tcMar>
              <w:top w:w="0" w:type="dxa"/>
              <w:left w:w="0" w:type="dxa"/>
              <w:bottom w:w="0" w:type="dxa"/>
              <w:right w:w="0" w:type="dxa"/>
            </w:tcMar>
            <w:vAlign w:val="center"/>
          </w:tcPr>
          <w:p>
            <w:pPr>
              <w:pStyle w:val="TableContents"/>
              <w:bidi w:val="0"/>
              <w:spacing w:before="0" w:after="283"/>
              <w:jc w:val="left"/>
              <w:rPr/>
            </w:pPr>
            <w:hyperlink w:anchor="item5_market_registrants_common_equity">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546" w:type="dxa"/>
            <w:tcBorders/>
            <w:tcMar>
              <w:top w:w="0" w:type="dxa"/>
              <w:left w:w="0" w:type="dxa"/>
              <w:bottom w:w="0" w:type="dxa"/>
              <w:right w:w="0" w:type="dxa"/>
            </w:tcMar>
            <w:vAlign w:val="center"/>
          </w:tcPr>
          <w:p>
            <w:pPr>
              <w:pStyle w:val="TableContents"/>
              <w:bidi w:val="0"/>
              <w:spacing w:before="0" w:after="283"/>
              <w:jc w:val="left"/>
              <w:rPr/>
            </w:pPr>
            <w:hyperlink w:anchor="part_ii_item_6">
              <w:r>
                <w:rPr>
                  <w:rStyle w:val="InternetLink"/>
                  <w:rFonts w:ascii="Times New Roman" w:hAnsi="Times New Roman"/>
                  <w:color w:val="0000FF"/>
                  <w:sz w:val="20"/>
                  <w:u w:val="single"/>
                </w:rPr>
                <w:t>[Reserved].</w:t>
              </w:r>
            </w:hyperlink>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546" w:type="dxa"/>
            <w:tcBorders/>
            <w:tcMar>
              <w:top w:w="0" w:type="dxa"/>
              <w:left w:w="0" w:type="dxa"/>
              <w:bottom w:w="0" w:type="dxa"/>
              <w:right w:w="0" w:type="dxa"/>
            </w:tcMar>
            <w:vAlign w:val="center"/>
          </w:tcPr>
          <w:p>
            <w:pPr>
              <w:pStyle w:val="TableContents"/>
              <w:bidi w:val="0"/>
              <w:spacing w:before="0" w:after="283"/>
              <w:jc w:val="left"/>
              <w:rPr/>
            </w:pPr>
            <w:hyperlink w:anchor="item7_mda">
              <w:r>
                <w:rPr>
                  <w:rStyle w:val="InternetLink"/>
                  <w:rFonts w:ascii="Times New Roman" w:hAnsi="Times New Roman"/>
                  <w:color w:val="0000FF"/>
                  <w:sz w:val="20"/>
                  <w:u w:val="single"/>
                </w:rPr>
                <w:t>Management’s Discussion and Analysis of Financial Condition and Results of Operations.</w:t>
              </w:r>
            </w:hyperlink>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8546" w:type="dxa"/>
            <w:tcBorders/>
            <w:tcMar>
              <w:top w:w="0" w:type="dxa"/>
              <w:left w:w="0" w:type="dxa"/>
              <w:bottom w:w="0" w:type="dxa"/>
              <w:right w:w="0" w:type="dxa"/>
            </w:tcMar>
            <w:vAlign w:val="center"/>
          </w:tcPr>
          <w:p>
            <w:pPr>
              <w:pStyle w:val="TableContents"/>
              <w:bidi w:val="0"/>
              <w:spacing w:before="0" w:after="283"/>
              <w:jc w:val="left"/>
              <w:rPr/>
            </w:pPr>
            <w:hyperlink w:anchor="item7a_quantitative_disclosures">
              <w:r>
                <w:rPr>
                  <w:rStyle w:val="InternetLink"/>
                  <w:rFonts w:ascii="Times New Roman" w:hAnsi="Times New Roman"/>
                  <w:color w:val="0000FF"/>
                  <w:sz w:val="20"/>
                  <w:u w:val="single"/>
                </w:rPr>
                <w:t>Quantitative and Qualitative Disclosures About Market Risk.</w:t>
              </w:r>
            </w:hyperlink>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546" w:type="dxa"/>
            <w:tcBorders/>
            <w:tcMar>
              <w:top w:w="0" w:type="dxa"/>
              <w:left w:w="0" w:type="dxa"/>
              <w:bottom w:w="0" w:type="dxa"/>
              <w:right w:w="0" w:type="dxa"/>
            </w:tcMar>
            <w:vAlign w:val="center"/>
          </w:tcPr>
          <w:p>
            <w:pPr>
              <w:pStyle w:val="TableContents"/>
              <w:bidi w:val="0"/>
              <w:spacing w:before="0" w:after="283"/>
              <w:jc w:val="left"/>
              <w:rPr/>
            </w:pPr>
            <w:hyperlink w:anchor="item8_financial_statements_supplementary">
              <w:r>
                <w:rPr>
                  <w:rStyle w:val="InternetLink"/>
                  <w:rFonts w:ascii="Times New Roman" w:hAnsi="Times New Roman"/>
                  <w:color w:val="0000FF"/>
                  <w:sz w:val="20"/>
                  <w:u w:val="single"/>
                </w:rPr>
                <w:t>Financial Statements and Supplementary Data.</w:t>
              </w:r>
            </w:hyperlink>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546" w:type="dxa"/>
            <w:tcBorders/>
            <w:tcMar>
              <w:top w:w="0" w:type="dxa"/>
              <w:left w:w="0" w:type="dxa"/>
              <w:bottom w:w="0" w:type="dxa"/>
              <w:right w:w="0" w:type="dxa"/>
            </w:tcMar>
            <w:vAlign w:val="center"/>
          </w:tcPr>
          <w:p>
            <w:pPr>
              <w:pStyle w:val="TableContents"/>
              <w:bidi w:val="0"/>
              <w:spacing w:before="0" w:after="283"/>
              <w:jc w:val="left"/>
              <w:rPr/>
            </w:pPr>
            <w:hyperlink w:anchor="item9_changes_disagreements">
              <w:r>
                <w:rPr>
                  <w:rStyle w:val="InternetLink"/>
                  <w:rFonts w:ascii="Times New Roman" w:hAnsi="Times New Roman"/>
                  <w:color w:val="0000FF"/>
                  <w:sz w:val="20"/>
                  <w:u w:val="single"/>
                </w:rPr>
                <w:t>Changes in and Disagreements with Accountants on Accounting and Financial Disclosure.</w:t>
              </w:r>
            </w:hyperlink>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546" w:type="dxa"/>
            <w:tcBorders/>
            <w:tcMar>
              <w:top w:w="0" w:type="dxa"/>
              <w:left w:w="0" w:type="dxa"/>
              <w:bottom w:w="0" w:type="dxa"/>
              <w:right w:w="0" w:type="dxa"/>
            </w:tcMar>
            <w:vAlign w:val="center"/>
          </w:tcPr>
          <w:p>
            <w:pPr>
              <w:pStyle w:val="TableContents"/>
              <w:bidi w:val="0"/>
              <w:spacing w:before="0" w:after="283"/>
              <w:jc w:val="left"/>
              <w:rPr/>
            </w:pPr>
            <w:hyperlink w:anchor="item9a_controls_procedures">
              <w:r>
                <w:rPr>
                  <w:rStyle w:val="InternetLink"/>
                  <w:rFonts w:ascii="Times New Roman" w:hAnsi="Times New Roman"/>
                  <w:color w:val="0000FF"/>
                  <w:sz w:val="20"/>
                  <w:u w:val="single"/>
                </w:rPr>
                <w:t>Controls and Procedures.</w:t>
              </w:r>
            </w:hyperlink>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546" w:type="dxa"/>
            <w:tcBorders/>
            <w:tcMar>
              <w:top w:w="0" w:type="dxa"/>
              <w:left w:w="0" w:type="dxa"/>
              <w:bottom w:w="0" w:type="dxa"/>
              <w:right w:w="0" w:type="dxa"/>
            </w:tcMar>
            <w:vAlign w:val="center"/>
          </w:tcPr>
          <w:p>
            <w:pPr>
              <w:pStyle w:val="TableContents"/>
              <w:bidi w:val="0"/>
              <w:spacing w:before="0" w:after="283"/>
              <w:jc w:val="left"/>
              <w:rPr/>
            </w:pPr>
            <w:hyperlink w:anchor="item9b_other_information">
              <w:r>
                <w:rPr>
                  <w:rStyle w:val="InternetLink"/>
                  <w:rFonts w:ascii="Times New Roman" w:hAnsi="Times New Roman"/>
                  <w:color w:val="0000FF"/>
                  <w:sz w:val="20"/>
                  <w:u w:val="single"/>
                </w:rPr>
                <w:t>Other Information.</w:t>
              </w:r>
            </w:hyperlink>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546" w:type="dxa"/>
            <w:tcBorders/>
            <w:tcMar>
              <w:top w:w="0" w:type="dxa"/>
              <w:left w:w="0" w:type="dxa"/>
              <w:bottom w:w="0" w:type="dxa"/>
              <w:right w:w="0" w:type="dxa"/>
            </w:tcMar>
            <w:vAlign w:val="center"/>
          </w:tcPr>
          <w:p>
            <w:pPr>
              <w:pStyle w:val="TableContents"/>
              <w:bidi w:val="0"/>
              <w:spacing w:before="0" w:after="283"/>
              <w:jc w:val="left"/>
              <w:rPr/>
            </w:pPr>
            <w:hyperlink w:anchor="item9c_foreign_jurisdictions">
              <w:r>
                <w:rPr>
                  <w:rStyle w:val="InternetLink"/>
                  <w:rFonts w:ascii="Times New Roman" w:hAnsi="Times New Roman"/>
                  <w:color w:val="0000FF"/>
                  <w:sz w:val="20"/>
                  <w:u w:val="single"/>
                </w:rPr>
                <w:t>Disclosure Regarding Foreign Jurisdictions that Prevent Inspections.</w:t>
              </w:r>
            </w:hyperlink>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85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8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III</w:t>
            </w:r>
          </w:p>
        </w:tc>
        <w:tc>
          <w:tcPr>
            <w:tcW w:w="87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85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546" w:type="dxa"/>
            <w:tcBorders/>
            <w:tcMar>
              <w:top w:w="0" w:type="dxa"/>
              <w:left w:w="0" w:type="dxa"/>
              <w:bottom w:w="0" w:type="dxa"/>
              <w:right w:w="0" w:type="dxa"/>
            </w:tcMar>
            <w:vAlign w:val="center"/>
          </w:tcPr>
          <w:p>
            <w:pPr>
              <w:pStyle w:val="TableContents"/>
              <w:bidi w:val="0"/>
              <w:spacing w:before="0" w:after="283"/>
              <w:jc w:val="left"/>
              <w:rPr/>
            </w:pPr>
            <w:hyperlink w:anchor="item10_directors_executiveofficers">
              <w:r>
                <w:rPr>
                  <w:rStyle w:val="InternetLink"/>
                  <w:rFonts w:ascii="Times New Roman" w:hAnsi="Times New Roman"/>
                  <w:color w:val="0000FF"/>
                  <w:sz w:val="20"/>
                  <w:u w:val="single"/>
                </w:rPr>
                <w:t>Directors, Executive Officers and Corporate Governance.</w:t>
              </w:r>
            </w:hyperlink>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546" w:type="dxa"/>
            <w:tcBorders/>
            <w:tcMar>
              <w:top w:w="0" w:type="dxa"/>
              <w:left w:w="0" w:type="dxa"/>
              <w:bottom w:w="0" w:type="dxa"/>
              <w:right w:w="0" w:type="dxa"/>
            </w:tcMar>
            <w:vAlign w:val="center"/>
          </w:tcPr>
          <w:p>
            <w:pPr>
              <w:pStyle w:val="TableContents"/>
              <w:bidi w:val="0"/>
              <w:spacing w:before="0" w:after="283"/>
              <w:jc w:val="left"/>
              <w:rPr/>
            </w:pPr>
            <w:hyperlink w:anchor="item11_executive_compensation">
              <w:r>
                <w:rPr>
                  <w:rStyle w:val="InternetLink"/>
                  <w:rFonts w:ascii="Times New Roman" w:hAnsi="Times New Roman"/>
                  <w:color w:val="0000FF"/>
                  <w:sz w:val="20"/>
                  <w:u w:val="single"/>
                </w:rPr>
                <w:t>Executive Compensation.</w:t>
              </w:r>
            </w:hyperlink>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546" w:type="dxa"/>
            <w:tcBorders/>
            <w:tcMar>
              <w:top w:w="0" w:type="dxa"/>
              <w:left w:w="0" w:type="dxa"/>
              <w:bottom w:w="0" w:type="dxa"/>
              <w:right w:w="0" w:type="dxa"/>
            </w:tcMar>
            <w:vAlign w:val="center"/>
          </w:tcPr>
          <w:p>
            <w:pPr>
              <w:pStyle w:val="TableContents"/>
              <w:bidi w:val="0"/>
              <w:spacing w:before="0" w:after="283"/>
              <w:jc w:val="left"/>
              <w:rPr/>
            </w:pPr>
            <w:hyperlink w:anchor="item12_security_ownership">
              <w:r>
                <w:rPr>
                  <w:rStyle w:val="InternetLink"/>
                  <w:rFonts w:ascii="Times New Roman" w:hAnsi="Times New Roman"/>
                  <w:color w:val="0000FF"/>
                  <w:sz w:val="20"/>
                  <w:u w:val="single"/>
                </w:rPr>
                <w:t>Security Ownership of Certain Beneficial Owners and Management and Related Stockholder Matters.</w:t>
              </w:r>
            </w:hyperlink>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546" w:type="dxa"/>
            <w:tcBorders/>
            <w:tcMar>
              <w:top w:w="0" w:type="dxa"/>
              <w:left w:w="0" w:type="dxa"/>
              <w:bottom w:w="0" w:type="dxa"/>
              <w:right w:w="0" w:type="dxa"/>
            </w:tcMar>
            <w:vAlign w:val="center"/>
          </w:tcPr>
          <w:p>
            <w:pPr>
              <w:pStyle w:val="TableContents"/>
              <w:bidi w:val="0"/>
              <w:spacing w:before="0" w:after="283"/>
              <w:jc w:val="left"/>
              <w:rPr/>
            </w:pPr>
            <w:hyperlink w:anchor="item13_certainrelationships">
              <w:r>
                <w:rPr>
                  <w:rStyle w:val="InternetLink"/>
                  <w:rFonts w:ascii="Times New Roman" w:hAnsi="Times New Roman"/>
                  <w:color w:val="0000FF"/>
                  <w:sz w:val="20"/>
                  <w:u w:val="single"/>
                </w:rPr>
                <w:t>Certain Relationships and Related Transactions, and Director Independence.</w:t>
              </w:r>
            </w:hyperlink>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546" w:type="dxa"/>
            <w:tcBorders/>
            <w:tcMar>
              <w:top w:w="0" w:type="dxa"/>
              <w:left w:w="0" w:type="dxa"/>
              <w:bottom w:w="0" w:type="dxa"/>
              <w:right w:w="0" w:type="dxa"/>
            </w:tcMar>
            <w:vAlign w:val="center"/>
          </w:tcPr>
          <w:p>
            <w:pPr>
              <w:pStyle w:val="TableContents"/>
              <w:bidi w:val="0"/>
              <w:spacing w:before="0" w:after="283"/>
              <w:jc w:val="left"/>
              <w:rPr/>
            </w:pPr>
            <w:hyperlink w:anchor="item14_principal_accountant_fees">
              <w:r>
                <w:rPr>
                  <w:rStyle w:val="InternetLink"/>
                  <w:rFonts w:ascii="Times New Roman" w:hAnsi="Times New Roman"/>
                  <w:color w:val="0000FF"/>
                  <w:sz w:val="20"/>
                  <w:u w:val="single"/>
                </w:rPr>
                <w:t>Principal Accountant Fees and Services.</w:t>
              </w:r>
            </w:hyperlink>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85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8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IV</w:t>
            </w:r>
          </w:p>
        </w:tc>
        <w:tc>
          <w:tcPr>
            <w:tcW w:w="87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85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546" w:type="dxa"/>
            <w:tcBorders/>
            <w:tcMar>
              <w:top w:w="0" w:type="dxa"/>
              <w:left w:w="0" w:type="dxa"/>
              <w:bottom w:w="0" w:type="dxa"/>
              <w:right w:w="0" w:type="dxa"/>
            </w:tcMar>
            <w:vAlign w:val="center"/>
          </w:tcPr>
          <w:p>
            <w:pPr>
              <w:pStyle w:val="TableContents"/>
              <w:bidi w:val="0"/>
              <w:spacing w:before="0" w:after="283"/>
              <w:jc w:val="left"/>
              <w:rPr/>
            </w:pPr>
            <w:hyperlink w:anchor="item15_exhibits">
              <w:r>
                <w:rPr>
                  <w:rStyle w:val="InternetLink"/>
                  <w:rFonts w:ascii="Times New Roman" w:hAnsi="Times New Roman"/>
                  <w:color w:val="0000FF"/>
                  <w:sz w:val="20"/>
                  <w:u w:val="single"/>
                </w:rPr>
                <w:t>Exhibits and Financial Statement Schedules.</w:t>
              </w:r>
            </w:hyperlink>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8546" w:type="dxa"/>
            <w:tcBorders/>
            <w:tcMar>
              <w:top w:w="0" w:type="dxa"/>
              <w:left w:w="0" w:type="dxa"/>
              <w:bottom w:w="0" w:type="dxa"/>
              <w:right w:w="0" w:type="dxa"/>
            </w:tcMar>
            <w:vAlign w:val="center"/>
          </w:tcPr>
          <w:p>
            <w:pPr>
              <w:pStyle w:val="TableContents"/>
              <w:bidi w:val="0"/>
              <w:spacing w:before="0" w:after="283"/>
              <w:jc w:val="left"/>
              <w:rPr/>
            </w:pPr>
            <w:hyperlink w:anchor="item16_form10k_summary">
              <w:r>
                <w:rPr>
                  <w:rStyle w:val="InternetLink"/>
                  <w:rFonts w:ascii="Times New Roman" w:hAnsi="Times New Roman"/>
                  <w:color w:val="0000FF"/>
                  <w:sz w:val="20"/>
                  <w:u w:val="single"/>
                </w:rPr>
                <w:t>Form 10-K Summary.</w:t>
              </w:r>
            </w:hyperlink>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r>
      <w:tr>
        <w:trPr/>
        <w:tc>
          <w:tcPr>
            <w:tcW w:w="933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330"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Throughout this document, Domino’s Pizza, Inc. (Nasdaq: DPZ) is referred to as the “Company,” “Domino’s,” “Domino’s Pizza” or in the first-person notations of “we,” “us” and “our.”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this document, we rely on and refer to information regarding the U.S. quick service restaurant, or QSR, sector and the U.S. QSR pizza category from CREST</w:t>
      </w:r>
      <w:r>
        <w:rPr>
          <w:rFonts w:ascii="Times New Roman" w:hAnsi="Times New Roman"/>
          <w:color w:val="000000"/>
          <w:sz w:val="13"/>
        </w:rPr>
        <w:t>®</w:t>
      </w:r>
      <w:r>
        <w:rPr>
          <w:rFonts w:ascii="Times New Roman" w:hAnsi="Times New Roman"/>
          <w:color w:val="000000"/>
          <w:sz w:val="20"/>
        </w:rPr>
        <w:t>, ongoing foodservice market research (years ending December) prepared by Circana, as well as market research reports, analyst reports and other publicly-available information. Although we believe this information to be reliable, we have not independently verified it. U.S. sales information relating to the U.S. QSR sector and the U.S. QSR pizza category represent reported consumer spending obtained by Circana’s CREST ongoing foodservice market research from consumer surveys. This information relates to both our Company-owned and franchised stores.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 I</w:t>
      </w:r>
    </w:p>
    <w:p>
      <w:pPr>
        <w:pStyle w:val="TextBody"/>
        <w:bidi w:val="0"/>
        <w:jc w:val="left"/>
        <w:rPr>
          <w:rFonts w:ascii="Times New Roman" w:hAnsi="Times New Roman"/>
          <w:sz w:val="20"/>
        </w:rPr>
      </w:pPr>
      <w:bookmarkStart w:id="2" w:name="item1_business"/>
      <w:bookmarkEnd w:id="2"/>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Domino’s is the largest pizza company in the world with more than 22,100 locations in over 90 markets around the world as of December 28, 2025, and operates two distinct service models within its stores, with a significant business in both delivery and carryout. We are a highly recognized global brand, and we focus on value while serving neighborhoods locally through our large worldwide network of franchise owners and U.S. Company-owned stores through both the delivery and carryout service models. We have been selling quality, affordable food to our customers since 1960. We became “Domino’s Pizza” in 1965 and opened our first franchised store in 1967. Over the past 65 years, we have built Domino’s into one of the most widely-recognized consumer brands in the world. We believe our commitment to value, convenience, quality and new products continues to keep consumers engaged with the brand.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primarily a franchisor, with approximately 99% of Domino’s global stores owned and operated by our independent franchisees as of December 28, 2025. Franchising enables an individual to be a business owner and maintain control over all employment-related matters and pricing decisions, while also benefiting from the strength of the Domino’s global brand and operating system with limited capital investment by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Domino’s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Domino’s generates revenues and earnings by charging royalties and fees to our franchisees. Royalties are ongoing percent-of-sales fees for use of the Domino’s</w:t>
      </w:r>
      <w:r>
        <w:rPr>
          <w:rFonts w:ascii="Times New Roman" w:hAnsi="Times New Roman"/>
          <w:color w:val="000000"/>
          <w:sz w:val="13"/>
        </w:rPr>
        <w:t>®</w:t>
      </w:r>
      <w:r>
        <w:rPr>
          <w:rFonts w:ascii="Times New Roman" w:hAnsi="Times New Roman"/>
          <w:color w:val="000000"/>
          <w:sz w:val="20"/>
        </w:rPr>
        <w:t xml:space="preserve"> brand marks. We also generate revenues and earnings by selling food and other products to franchisees through our supply chain operations primarily in the U.S. and Canada and by operating a number of Company-owned stores in the U.S. Franchisees profit by selling pizza and other complementary items to their local customers. In our international markets, we generally grant geographical rights to the Domino’s Pizza</w:t>
      </w:r>
      <w:r>
        <w:rPr>
          <w:rFonts w:ascii="Times New Roman" w:hAnsi="Times New Roman"/>
          <w:color w:val="000000"/>
          <w:sz w:val="13"/>
        </w:rPr>
        <w:t>®</w:t>
      </w:r>
      <w:r>
        <w:rPr>
          <w:rFonts w:ascii="Times New Roman" w:hAnsi="Times New Roman"/>
          <w:color w:val="000000"/>
          <w:sz w:val="20"/>
        </w:rPr>
        <w:t xml:space="preserve"> brand to master franchisees. These master franchisees are charged with developing their geographical area, and they may profit by sub-franchising and selling food, and to a lesser extent, other products to those sub-franchisees, as well as by running pizza stores. We believe that everyone in the system can benefit from the franchise model, including the end consumer, who can purchase Domino’s menu items for themselves and their family conveniently and economically.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Domino’s business model can yield strong returns for our franchise owners and our Company-owned stores. It can also yield significant cash flows to us, through consistent franchise royalty and supply chain revenue streams, all within an asset-light model. We have historically returned cash to shareholders through dividend payments and share repurchases. Domino’s financial results are driven largely by retail sales at our franchised and Company-owned stores. Changes in retail sales are primarily driven by same store sales growth and net store growth. We actively monitor both of these metrics, as they directly impact our revenues and profits, and we strive to consistently increase both metrics. Retail sales drive royalty payments from franchisees, as well as Company-owned store and supply chain revenues.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Domino’s, we believe we have a proven business model for success that has historically driven strong returns for our shareholders. Our Hungry for MORE strategy aims to generate MORE sales, MORE stores and MORE profits. The strategic imperatives of our Hungry for MORE strategy are as follows:</w:t>
      </w:r>
    </w:p>
    <w:p>
      <w:pPr>
        <w:pStyle w:val="TextBody"/>
        <w:bidi w:val="0"/>
        <w:jc w:val="left"/>
        <w:rPr>
          <w:rFonts w:ascii="Times New Roman" w:hAnsi="Times New Roman"/>
          <w:sz w:val="20"/>
        </w:rPr>
      </w:pPr>
      <w:r>
        <w:rPr>
          <w:rFonts w:ascii="Times New Roman" w:hAnsi="Times New Roman"/>
          <w:i/>
          <w:color w:val="000000"/>
          <w:sz w:val="20"/>
        </w:rPr>
        <w:t xml:space="preserve">Most Delicious Food: </w:t>
      </w:r>
      <w:r>
        <w:rPr>
          <w:rFonts w:ascii="Times New Roman" w:hAnsi="Times New Roman"/>
          <w:color w:val="000000"/>
          <w:sz w:val="20"/>
        </w:rPr>
        <w:t>We believe we have the best pizza in the industry, and our menu has even more mouthwatering options beyond pizza. We will continue to showcase the breadth of our menu, while highlighting the deliciousness of our food through our innovative marketing promotions.</w:t>
      </w:r>
    </w:p>
    <w:p>
      <w:pPr>
        <w:pStyle w:val="TextBody"/>
        <w:bidi w:val="0"/>
        <w:jc w:val="left"/>
        <w:rPr>
          <w:rFonts w:ascii="Times New Roman" w:hAnsi="Times New Roman"/>
          <w:sz w:val="20"/>
        </w:rPr>
      </w:pPr>
      <w:r>
        <w:rPr>
          <w:rFonts w:ascii="Times New Roman" w:hAnsi="Times New Roman"/>
          <w:i/>
          <w:color w:val="000000"/>
          <w:sz w:val="20"/>
        </w:rPr>
        <w:t xml:space="preserve">Operational Excellence: </w:t>
      </w:r>
      <w:r>
        <w:rPr>
          <w:rFonts w:ascii="Times New Roman" w:hAnsi="Times New Roman"/>
          <w:color w:val="000000"/>
          <w:sz w:val="20"/>
        </w:rPr>
        <w:t>We are relentless in our focus on convenience, consistency and efficiency for our customers.</w:t>
      </w:r>
    </w:p>
    <w:p>
      <w:pPr>
        <w:pStyle w:val="TextBody"/>
        <w:bidi w:val="0"/>
        <w:jc w:val="left"/>
        <w:rPr>
          <w:rFonts w:ascii="Times New Roman" w:hAnsi="Times New Roman"/>
          <w:sz w:val="20"/>
        </w:rPr>
      </w:pPr>
      <w:r>
        <w:rPr>
          <w:rFonts w:ascii="Times New Roman" w:hAnsi="Times New Roman"/>
          <w:i/>
          <w:color w:val="000000"/>
          <w:sz w:val="20"/>
        </w:rPr>
        <w:t>Renowned Value:</w:t>
      </w:r>
      <w:r>
        <w:rPr>
          <w:rFonts w:ascii="Times New Roman" w:hAnsi="Times New Roman"/>
          <w:color w:val="000000"/>
          <w:sz w:val="20"/>
        </w:rPr>
        <w:t xml:space="preserve"> We are committed to continuing to offer competitive pricing and personalized value for our customers that is innovative and memorable.</w:t>
      </w:r>
    </w:p>
    <w:p>
      <w:pPr>
        <w:pStyle w:val="TextBody"/>
        <w:bidi w:val="0"/>
        <w:jc w:val="left"/>
        <w:rPr>
          <w:rFonts w:ascii="Times New Roman" w:hAnsi="Times New Roman"/>
          <w:sz w:val="20"/>
        </w:rPr>
      </w:pPr>
      <w:r>
        <w:rPr>
          <w:rFonts w:ascii="Times New Roman" w:hAnsi="Times New Roman"/>
          <w:i/>
          <w:color w:val="000000"/>
          <w:sz w:val="20"/>
        </w:rPr>
        <w:t>Enhanced by Best-in-Class Franchisees:</w:t>
      </w:r>
      <w:r>
        <w:rPr>
          <w:rFonts w:ascii="Times New Roman" w:hAnsi="Times New Roman"/>
          <w:color w:val="000000"/>
          <w:sz w:val="20"/>
        </w:rPr>
        <w:t xml:space="preserve"> Our franchisees play a vital role in driving results and excitement across the more than 90 markets in which we operate.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Our Industry and Competition</w:t>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20"/>
        </w:rPr>
        <w:t>The QSR pizza category is large, fragmented and highly competitive. In the U.S., we compete primarily against national chains Pizza Hut</w:t>
      </w:r>
      <w:r>
        <w:rPr>
          <w:rFonts w:ascii="Times New Roman" w:hAnsi="Times New Roman"/>
          <w:color w:val="000000"/>
          <w:sz w:val="13"/>
        </w:rPr>
        <w:t>®</w:t>
      </w:r>
      <w:r>
        <w:rPr>
          <w:rFonts w:ascii="Times New Roman" w:hAnsi="Times New Roman"/>
          <w:color w:val="000000"/>
          <w:sz w:val="20"/>
        </w:rPr>
        <w:t>, Papa John’s</w:t>
      </w:r>
      <w:r>
        <w:rPr>
          <w:rFonts w:ascii="Times New Roman" w:hAnsi="Times New Roman"/>
          <w:color w:val="000000"/>
          <w:sz w:val="13"/>
        </w:rPr>
        <w:t>®</w:t>
      </w:r>
      <w:r>
        <w:rPr>
          <w:rFonts w:ascii="Times New Roman" w:hAnsi="Times New Roman"/>
          <w:color w:val="000000"/>
          <w:sz w:val="20"/>
        </w:rPr>
        <w:t xml:space="preserve"> and Little Caesars Pizza</w:t>
      </w:r>
      <w:r>
        <w:rPr>
          <w:rFonts w:ascii="Times New Roman" w:hAnsi="Times New Roman"/>
          <w:color w:val="000000"/>
          <w:sz w:val="13"/>
        </w:rPr>
        <w:t>®</w:t>
      </w:r>
      <w:r>
        <w:rPr>
          <w:rFonts w:ascii="Times New Roman" w:hAnsi="Times New Roman"/>
          <w:color w:val="000000"/>
          <w:sz w:val="20"/>
        </w:rPr>
        <w:t xml:space="preserve"> as well as regional, independent and local establishments. We generally compete on the basis of product quality, location, image, service, technology, convenience and price. Our business and those of our competitors can be affected by changes in consumer tastes, economic conditions, demographic trends, geopolitical and reputational considerations, marketing, advertising, pricing and consumers’ disposable income. We also compete with other restaurants, as well as order and delivery aggregation companies, which have continued to grow in size and scale in recent years. We have multinational agreements with Uber Technologies, Inc. and DoorDash, Inc. to allow customers to order Domino’s products through their respective marketplaces. We compete not only for customers, but also for management and hourly employees, including store team members, drivers and qualified franchisees, as well as suitable real estate sites.</w:t>
      </w:r>
    </w:p>
    <w:p>
      <w:pPr>
        <w:pStyle w:val="TextBody"/>
        <w:bidi w:val="0"/>
        <w:spacing w:before="0" w:after="120"/>
        <w:jc w:val="left"/>
        <w:rPr>
          <w:rFonts w:ascii="Times New Roman" w:hAnsi="Times New Roman"/>
          <w:sz w:val="20"/>
        </w:rPr>
      </w:pPr>
      <w:r>
        <w:rPr>
          <w:rFonts w:ascii="Times New Roman" w:hAnsi="Times New Roman"/>
          <w:color w:val="000000"/>
          <w:sz w:val="20"/>
        </w:rPr>
        <w:t>From 2024 through 2025, the U.S. QSR pizza category grew from $42.8 billion to $43.4 billion and is primarily comprised of dine-in, delivery and carryout, with delivery and carryout comprising the two largest segments. Carryout includes both carryout and drive-through occasions. In the U.S., we compete in the delivery and carryout segments of the QSR pizza category. The four industry leaders, including Domino’s, account for approximately 61% of U.S. pizza delivery and approximately 51% of U.S. pizza carryout, with regional, independent and local establishments comprising the remainder of the category. Within the U.S. QSR pizza category, we are recognized as number one, with approximately 23.3% total market share based on consumer spending data for the year ending December 2025 (up from approximately 22.5% for the year ended December 2024). We are the market share leader in both delivery and carryout, with approximately 32.9% and 19.6% share in each segment, respectively, based on consumer spending data (Source: Circana, CREST</w:t>
      </w:r>
      <w:r>
        <w:rPr>
          <w:rFonts w:ascii="Times New Roman" w:hAnsi="Times New Roman"/>
          <w:color w:val="000000"/>
          <w:sz w:val="13"/>
        </w:rPr>
        <w:t>®</w:t>
      </w:r>
      <w:r>
        <w:rPr>
          <w:rFonts w:ascii="Times New Roman" w:hAnsi="Times New Roman"/>
          <w:color w:val="000000"/>
          <w:sz w:val="20"/>
        </w:rPr>
        <w:t>, twelve months ended December 2025. Data of share information provided by Circana is preliminary and is based on simulated results; data is not considered final until published by Circana.)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Internationally, the QSR pizza category is also fragmented and highly competitive. Outside the U.S., we compete primarily with Pizza Hut and Papa John’s which have significant global presence, as well as country-specific national, regional and local pizzerias. We believe that demand for pizza delivery and pizza carryout is large and growing globally, driven by international consumers’ increasing emphasis on convenience, and is supported by our proven success of more than 40 years of conducting business abroad.</w:t>
      </w:r>
    </w:p>
    <w:p>
      <w:pPr>
        <w:pStyle w:val="TextBody"/>
        <w:bidi w:val="0"/>
        <w:jc w:val="left"/>
        <w:rPr>
          <w:rFonts w:ascii="Times New Roman" w:hAnsi="Times New Roman"/>
          <w:b/>
          <w:i/>
          <w:color w:val="000000"/>
          <w:sz w:val="20"/>
        </w:rPr>
      </w:pPr>
      <w:r>
        <w:rPr>
          <w:rFonts w:ascii="Times New Roman" w:hAnsi="Times New Roman"/>
          <w:b/>
          <w:i/>
          <w:color w:val="000000"/>
          <w:sz w:val="20"/>
        </w:rPr>
        <w:t>Our Customers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business is not dependent upon a single retail customer or small group of customers, including franchisees. No customer accounted for more than 10% of our total consolidated revenues in 2025, 2024 or 2023. As of December 28, 2025, our largest franchisee based on store count, Domino’s Pizza Enterprises (DMP: ASX), operated 3,524 stores in 12 international markets, which accounted for approximately 24% of our international store count and 16% of our global store count. Revenues from this master franchisee accounted for 1.4% of our consolidated revenues in 2025. Our international franchise segment only requires a modest amount of general and administrative expenses to support its markets and does not have a cost of sales component. Therefore, the vast majority of these royalty revenues result in profits to us.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Menu</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offer a menu designed to present delicious, quality offerings to customers, while keeping it simple enough to minimize operational complexity and expedite order-taking and food preparation. Our basic menu features pizza products with varying sizes and crust types. Our typical store also offers side items including bread products, wings, boneless chicken, pastas, oven-baked sandwiches, soft drink products and desserts. During 2025, we launched our Parmesan Stuffed Crust Pizza, as well as our Spicy Chicken Bacon Ranch specialty pizza and Garlic and Cinnamon Bread Bites. International market offerings vary by country and culture, such as the Croissant Pizza in Spain and Mexico, the Chocolate Volcano Pizza in China or the Chicken Burst Pizza (double layer of chicken toppings) in India.</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Store Image and Operations</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operate two distinct service models within our stores with a significant business in both delivery and carryout. In the U.S., delivery and carryout generally contribute meaningfully to our overall system transaction count and retail sales. The majority of our U.S. and international stores are constructed in the carryout-friendly Pizza Theater design. Many of these stores offer casual seating and enable customers to watch the preparation of their orders, but in the U.S. and many international markets, do not offer a full-service dine-in experience. As a result, our stores generally do not require expensive restaurant facilities and staffing.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Our Business Segments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operate, and report, three business segments: U.S. stores, international franchise and supply chain.</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U.S. Stores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2025, our U.S. stores segment accounted for $1.61 billion, or 32.6%, of our consolidated revenues. Our U.S. stores segment is comprised primarily of our franchise operations, which consisted of 6,924 franchised stores located in the U.S. as of December 28, 2025. We also owned and operated a network of 262 U.S. Company-owned stores, for a total U.S. store count of 7,186 as of December 28,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Directly operating Domino’s stores contributes significantly to our ability to act as a credible franchisor. We also use our Company-owned stores as test sites for technological innovation and promotions, as well as operational improvements. Additionally, we also use them for training new store managers and operations team members, as well as developing prospective franchisees. While we are primarily a franchised business, we continuously evaluate our mix of U.S. Company-owned and franchised stores. As of December 28, 2025, franchised stores represented approximately 96% of our total store count within our U.S. stores segment.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U.S. Franchise Profile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28, 2025, our network of 6,924 U.S. franchise stores was owned and operated by 754 independent U.S. franchisees. Our franchise formula enables franchisees to benefit from our brand recognition with a relatively low initial capital investment. As of December 28, 2025, the average U.S. franchisee owned and operated approximately nine stores and had been in our franchise system for over 15 years. Additionally, 24 of our U.S. franchisees operated more than 50 stores (including our largest U.S. franchisee who operated 160 stores) and 211 of our U.S. franchisees each operated one store as of December 28,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apply rigorous standards to prospective U.S. franchisees. We generally require them to manage a store for at least one year and graduate from our franchise management school program before being granted the right to franchise. This enables us to observe the operational and financial performance of a potential franchisee prior to entering into a long-term agreement. Substantially all of our independent U.S. franchise owners started their careers with us as delivery drivers or in other in-store positions, which we believe offers advantages in terms of familiarity with our business and store operations. In addition, we generally restrict the ability of U.S. franchisees to be involved in other businesses, which we believe helps focus our franchisees’ attention on operating their stores. We believe these characteristics and standards are largely unique within the franchise industry and have resulted in qualified and focused franchisees operating Domino’s stores. We maintain a productive relationship with our independent franchise owners through regional franchise teams, distributing materials that help franchise stores comply with our standards and using franchise advisory groups that facilitate communications between us and our franchisees. We consider our relationship with our U.S. franchisees to be good.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U.S. Franchise Agreements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enter into franchise agreements with U.S. franchisees under which the franchisee is generally granted the right to operate a store in a particular location for a term of ten years, with an ability to renew for an additional term of ten years. We had a franchise agreement renewal rate of approximately 99% in 2025. Under the current standard franchise agreement, we assign an exclusive area of primary responsibility to each franchised store. Each franchisee is generally required to pay a 5.5% royalty fee on sales, as well as certain technology fees. In certain instances, we will collect lower rates based on certain incentives.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stores in the U.S. generally contribute 6.0% of their sales to fund national marketing and advertising campaigns (subject, in certain instances, to lower rates based on certain incentives and waivers). Contributions by our U.S. franchisees to the Domino’s National Advertising Fund Inc. (“DNAF”), the Company’s consolidated not-for-profit advertising subsidiary, are primarily used to purchase media for advertising, and also to support market research, field communications, public relations, commercial production, talent payments and other activities to promote the Domino’s brand. In addition to the national and market-level advertising contributions, U.S. stores generally spend additional funds on local store marketing activities.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the contractual right, subject to state law, to terminate a franchise agreement for a variety of reasons, including, but not limited to, a franchisee’s failure to adhere to the Company’s franchise agreement, failure to make required payments or failure to adhere to specified Company policies and standards.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International Franchise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2025, our international franchise segment accounted for $338.7 million, or 6.9%, of our consolidated revenues. This segment is comprised of a network of franchised stores in over 90 international markets. As of December 28, 2025, we had 14,956 international franchised stores. The principal sources of revenues from those operations are royalty payments generated by retail sales from franchised stores, as well as certain technology fees.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international franchisees employ our basic standard operating model and adapt it to satisfy the local eating habits and consumer preferences of various regions outside the U.S. Currently, the vast majority of our international stores operate under master franchise agreements. We believe that Domino’s appeals to potential international franchisees because of our recognized brand name and technological leadership, the moderate capital expenditures required to open and operate the stores and the system’s desirable store-level profitability. Stores in eight of our ten largest international markets in terms of store count are operated by master franchise companies that are publicly traded on stock exchanges as noted in the table below.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our store count as of December 28, 2025 in our ten largest international markets, which accounted for approximately 66% of our international stores as of that date.</w:t>
      </w:r>
    </w:p>
    <w:p>
      <w:pPr>
        <w:pStyle w:val="TextBody"/>
        <w:bidi w:val="0"/>
        <w:jc w:val="left"/>
        <w:rPr/>
      </w:pPr>
      <w:r>
        <w:rPr/>
        <w:t> </w:t>
      </w:r>
    </w:p>
    <w:tbl>
      <w:tblPr>
        <w:tblW w:w="4208" w:type="dxa"/>
        <w:jc w:val="left"/>
        <w:tblInd w:w="0" w:type="dxa"/>
        <w:tblLayout w:type="fixed"/>
        <w:tblCellMar>
          <w:top w:w="28" w:type="dxa"/>
          <w:left w:w="28" w:type="dxa"/>
          <w:bottom w:w="28" w:type="dxa"/>
          <w:right w:w="28" w:type="dxa"/>
        </w:tblCellMar>
      </w:tblPr>
      <w:tblGrid>
        <w:gridCol w:w="2326"/>
        <w:gridCol w:w="146"/>
        <w:gridCol w:w="314"/>
        <w:gridCol w:w="1231"/>
        <w:gridCol w:w="1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Number of stores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 (JUBLFOOD: 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 (DOM: 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 (1405: HK)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 (ALSEA: MX)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 (DMP: ASX)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Turkey (JUBLFOOD: 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 (DMP: ASX)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 Korea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 (DMP: ASX)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International Franchisee Profile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vast majority of our markets outside of the U.S. are operated by master franchisees with franchise and distribution rights for entire regions or countries. In a few select markets, we franchise directly to individual store operators. Prospective master franchisees are required to possess local market knowledge to establish and develop Domino’s stores, with the ability to identify and access targeted real estate sites, as well as expertise in local laws, customs, culture and consumer behavior. We also seek candidates that have access to sufficient capital to meet growth and development plans. We consider our relationship with our international franchisees to be good.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International Master Franchise and Other Agreements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international master franchise agreements generally grant the franchisee exclusive rights to develop and sub-franchise stores, and the right to operate supply chain centers in particular geographic areas. Agreements are generally for a term of ten years, with options to renew for additional terms. The agreements typically contain growth clauses requiring franchisees to open a minimum number of stores within a specified period. The master franchisee is generally required to pay an initial, one-time franchise fee as well as an additional franchise fee upon the opening of each new store. The master franchisee is also required to pay a continuing royalty fee as a percentage of sales, which varies among international markets and may also differ based on certain incentives and concessions and averaged approximately 3.0% in 2025. We also have agreements with certain of our international master franchisees with respect to certain technology fees.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Supply Chain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2025, our supply chain segment accounted for $2.99 billion, or 60.5%, of our consolidated revenues. In the U.S., we operate 22 regional dough manufacturing and supply chain centers, two thin crust manufacturing facilities and one vegetable processing center. We also operate five regional dough manufacturing and supply chain centers in Canada. We plan to continue investing in supply chain productivity and capacity initiatives in the future. Our supply chain segment leases a fleet of more than 1,100 tractors and trailers. Our centers produce fresh dough and purchase, receive, store and deliver quality food and other complementary items to substantially all of our U.S. stores and most of our Canadian franchised stores. We regularly supply over 7,800 stores with various food and other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our franchisees voluntarily choose to obtain food and other products from us because we offer the most efficient, convenient and cost-effective alternative, while also offering both quality and consistency. Our supply chain segment offers profit-sharing arrangements to U.S. and Canadian franchisees who purchase all of their food for their stores from our centers. These profit-sharing arrangements generally offer participating franchisees and Company-owned stores with 50% of the pre-tax profit from our supply chain center operations. We believe these arrangements strengthen our ties to and provide aligned benefits with franchisees.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Third-Party Suppliers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significant amount of our annual food spend is with suppliers with whom we maintain long-standing partnerships. Our supply partners are required to meet strict quality standards to ensure food safety. We review and evaluate these partners’ quality assurance programs through (among other actions) on-site visits, third-party audits and product evaluations designed to ensure compliance with our standards. We believe the length and quality of our relationships with third-party suppliers provides us with priority service and quality products at competitive prices.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Cheese is our largest food cost. The price we charge to our U.S. franchisees for cheese is formula-based, with the Chicago Mercantile Exchange cheddar block price as the primary component, plus a supply chain markup. As cheese prices fluctuate, our revenues and margin percentages in our supply chain segment also fluctuate; however, actual supply chain dollar margins remain unchanged. We currently purchase our U.S. pizza cheese from a single supplier. Under our December 2024 agreement which expires in December 2029, our U.S. supplier agreed to provide the Company with an uninterrupted supply of cheese and the Company agreed to purchase substantially all of its U.S. pizza cheese from this supplier during the five-year term of the contract. The majority of our meat toppings in the U.S. come from a single supplier under a contract which was renegotiated in December 2025 and expires at the end of December 2027, subject to a one-year optional extension. We have the right to terminate these arrangements for quality failures and for certain uncured breaches. We have entered into a multi-year agreement with Coca-Cola</w:t>
      </w:r>
      <w:r>
        <w:rPr>
          <w:rFonts w:ascii="Times New Roman" w:hAnsi="Times New Roman"/>
          <w:color w:val="000000"/>
          <w:sz w:val="13"/>
        </w:rPr>
        <w:t>®</w:t>
      </w:r>
      <w:r>
        <w:rPr>
          <w:rFonts w:ascii="Times New Roman" w:hAnsi="Times New Roman"/>
          <w:color w:val="000000"/>
          <w:sz w:val="20"/>
        </w:rPr>
        <w:t>. This contract, renegotiated in December 2023, provides for Coca-Cola to continue to be our exclusive beverage supplier and expires on December 31, 2030 or at such time as a minimum number of cases of Coca-Cola products are purchased by Domino’s, whichever occurs later. We also have a global agreement with a third-party supplier under which substantially all our U.S. stores and certain international stores may procure equipment and supplies.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alternative third-party suppliers are available for all of these referenced products. While we may incur additional costs if we are required to replace any of our supply partners, we do not believe such additional costs would have a material adverse effect on our business. We continually evaluate each supply category to determine the optimal sourcing strategy.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not experienced any significant shortages of supplies or delays in receiving our inventories or products. Prices charged to us by our supply partners are subject to fluctuation, and we have historically been able to pass increased costs and savings on to stores. We periodically enter into supplier contracts to manage the risk from changes in commodity prices. We do not engage in speculative transactions, nor do we hold or issue financial instruments for trading purposes.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Our Strengths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Strong Brand Equity</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are the largest pizza company in the world, and we believe our Domino’s brand is one of the most widely-recognized consumer brands in the world. In the U.S., we are the recognized leader in pizza delivery and our store delivery areas cover a majority of U.S. households. We are also the U.S. market share leader in QSR pizza carryout. We believe consumers associate our brand with quality, affordable food and with technological innovations and extensive advertising through innovative marketing promotions. Our share position and scale allow us to leverage our purchasing power, supply chain strength and marketing investments, which we further believe allow us to effectively serve our customers’ demands for convenience and timely delivery. Outside the U.S., we have significant market share positions in many of the markets in which we compete.</w:t>
      </w:r>
    </w:p>
    <w:p>
      <w:pPr>
        <w:pStyle w:val="TextBody"/>
        <w:bidi w:val="0"/>
        <w:jc w:val="left"/>
        <w:rPr>
          <w:rFonts w:ascii="Times New Roman" w:hAnsi="Times New Roman"/>
          <w:b/>
          <w:i/>
          <w:color w:val="000000"/>
          <w:sz w:val="20"/>
        </w:rPr>
      </w:pPr>
      <w:r>
        <w:rPr>
          <w:rFonts w:ascii="Times New Roman" w:hAnsi="Times New Roman"/>
          <w:b/>
          <w:i/>
          <w:color w:val="000000"/>
          <w:sz w:val="20"/>
        </w:rPr>
        <w:t>Strong and Proven Business Model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business model generates U.S. and international franchise royalties and fees, supply chain revenues and retail sales at Company-owned stores. We have developed this model over our many years of operation, and it is anchored by strong store-level economics, which provide an entrepreneurial incentive for our franchisees and historically has generated strong demand for new stores. Over the past ten years, estimated average U.S. store profitability in the Domino’s system has increased meaningfully, resulting in higher profitability for our franchise owners. Our franchise system, in turn, has produced strong and consistent earnings for us through royalty and fee payments and through supply chain gross margins.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U.S., we have developed a cost-efficient store model, characterized by a delivery and carryout-oriented store design, with moderate capital requirements and a menu of quality, value-oriented and affordable items. At the store level, we believe the simplicity and efficiency of our operations give us significant advantages over our competitors, who, in many cases, also focus on dine-in or have broader menu offerings. At the supply chain level, we believe we provide quality, good value and consistency for our franchise customers while also driving profits for us, which we share with our franchisees under the profit-sharing arrangements described above.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menu simplifies and streamlines production and delivery processes and maximizes economies of scale on purchases of our principal food items. In addition, our stores are generally smaller and less expensive to build, furnish and maintain as compared to many other restaurant concepts, and they create a positive experience for our carryout customers. The combination of this efficient store model and strong sales volume has resulted in strong store-level economics and, we believe, makes Domino’s an attractive business opportunity for existing and prospective franchisees around the world. We and our franchisees are continuing to focus on growing our global store count. In recent years, we have focused specifically on increasing our presence in our existing markets to provide better service to our customers, including condensing our delivery areas to provide better delivery service and adding locations that are closer to our carryout customers. We call this approach our “fortressing” strategy.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our store financial returns have led to a strong, well-diversified franchise system. This established franchise system has produced strong cash flows and earnings for us, enabling us to invest in the Domino’s brand, stores, technology and supply chain centers, pay dividends, repurchase and retire shares of our common stock and service our debt obligations.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Technological Innovation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Technological innovation is vital to our brand and our long-term success, and technology is critical to competing in the global pizza and broader QSR industries. In the U.S., Domino’s generated more than 85% of U.S. retail sales in 2025 from digital channels, and our emphasis on technological innovation has allowed us to develop many innovative ordering platforms. In 2025, we continued to make progress on updating our eCommerce platforms. As of December 28, 2025, we have fully launched the website and mobile web portion of the redesign and we are in the process of rolling out an updated version of our mobile apps.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Our simple to understand and easy to use Domino’s Rewards</w:t>
      </w:r>
      <w:r>
        <w:rPr>
          <w:rFonts w:ascii="Times New Roman" w:hAnsi="Times New Roman"/>
          <w:color w:val="000000"/>
          <w:sz w:val="13"/>
        </w:rPr>
        <w:t xml:space="preserve">® </w:t>
      </w:r>
      <w:r>
        <w:rPr>
          <w:rFonts w:ascii="Times New Roman" w:hAnsi="Times New Roman"/>
          <w:color w:val="000000"/>
          <w:sz w:val="20"/>
        </w:rPr>
        <w:t>loyalty program provides members reward points for qualifying orders. When rewards members accumulate a certain amount of points, Domino’s Rewards offers loyalty members the opportunity to redeem points for a wide selection of our menu items.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Our Domino’s Operating System (“DOM OS”) is the combination of tools, processes and technologies that work together to optimize and orchestrate operations at our stores, including the flow of orders. The foundation of DOM OS is our proprietary point-of-sale system called Domino’s PULSE</w:t>
      </w:r>
      <w:r>
        <w:rPr>
          <w:rFonts w:ascii="Times New Roman" w:hAnsi="Times New Roman"/>
          <w:color w:val="000000"/>
          <w:sz w:val="13"/>
        </w:rPr>
        <w:t></w:t>
      </w:r>
      <w:r>
        <w:rPr>
          <w:rFonts w:ascii="Times New Roman" w:hAnsi="Times New Roman"/>
          <w:color w:val="000000"/>
          <w:sz w:val="20"/>
        </w:rPr>
        <w:t>. Our Domino’s PULSE system is designed to drive operating efficiencies for our franchisees and our corporate management and assist franchisees in independently managing their business. We believe our integrated technology solutions throughout our system provide us with competitive advantages over other concepts.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Product Innovation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our core hand-tossed pizza recipe has contributed to long-term growth in customer reorder rates, consumer traffic and increased sales in the U.S. This recipe is now in use in other markets around the world. Our 65 years of innovation have resulted in numerous new product developments. Product innovation is also present in our global markets, where our master franchisees have the ability to recommend products to suit their local market tastes.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Internal Dough Manufacturing and Supply Chain System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generating significant revenues and earnings in the U.S. and Canada, we believe our vertically integrated dough manufacturing and supply chain system enhances the quality and consistency of our products, strengthens our relationships with franchisees and leverages economies of scale to offer lower costs to our stores. It also allows store managers to focus on store operations and customer service by relieving them of the responsibility of mixing dough in the stores and sourcing other ingredients. Many of our international master franchisees also profit from running supply chain businesses in their respective markets.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Human Capital</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December 28, 2025, we had approximately 10,200 employees, including approximately 6,000 employees supporting our U.S. Company-owned stores and U.S. franchise operations (our U.S. stores segment), approximately 3,200 employees supporting our U.S. and Canadian supply chain operations (our supply chain segment), approximately 100 employees supporting our international franchise operations (our international franchise segment) and approximately 900 corporate employees. Approximately 4,000 of our employees are part-time and approximately 6,200 are full-time equivalent. Our franchisees are independent business owners, so their employees are not our employees and therefore are not included in our employee count. As of December 28, 2025, none of our employees were covered by a collective bargaining agreement. We consider our relationship with our employees to be good.</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Purpose and Values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are a purpose-inspired and performance-driven company with exceptional people committed to </w:t>
      </w:r>
      <w:r>
        <w:rPr>
          <w:rFonts w:ascii="Times New Roman" w:hAnsi="Times New Roman"/>
          <w:i/>
          <w:color w:val="000000"/>
          <w:sz w:val="20"/>
        </w:rPr>
        <w:t>feeding the power of possible, one pizza at a time</w:t>
      </w:r>
      <w:r>
        <w:rPr>
          <w:rFonts w:ascii="Times New Roman" w:hAnsi="Times New Roman"/>
          <w:color w:val="000000"/>
          <w:sz w:val="20"/>
        </w:rPr>
        <w:t>. At the heart of our brand is a commitment to a set of values that define our core beliefs on how we run our business, treat our people, support our franchisees and serve our customers.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Do the Right Thing:</w:t>
      </w:r>
      <w:r>
        <w:rPr>
          <w:rFonts w:ascii="Times New Roman" w:hAnsi="Times New Roman"/>
          <w:color w:val="000000"/>
          <w:sz w:val="20"/>
        </w:rPr>
        <w:t xml:space="preserve"> We act with integrity and make disciplined decisions, even when it’s difficult or unpopular. High ethical standards and uncommon honesty are at the heart of how we work together. We are committed to safely and responsibly serving our customers, and to giving back to the communities where we live and work.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Put People First:</w:t>
      </w:r>
      <w:r>
        <w:rPr>
          <w:rFonts w:ascii="Times New Roman" w:hAnsi="Times New Roman"/>
          <w:color w:val="000000"/>
          <w:sz w:val="20"/>
        </w:rPr>
        <w:t xml:space="preserve"> We create an inclusive culture, knowing our people are core to our success. We treat each other with dignity and respect, and we value the differences each team member brings. We strive to be a company where all team members can bring their full selves to work and know that they belong, can contribute and reach their potential.</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Create Inspired Solutions:</w:t>
      </w:r>
      <w:r>
        <w:rPr>
          <w:rFonts w:ascii="Times New Roman" w:hAnsi="Times New Roman"/>
          <w:color w:val="000000"/>
          <w:sz w:val="20"/>
        </w:rPr>
        <w:t xml:space="preserve"> We are a company built on entrepreneurship and innovation. We get better every day by having the humility and the courage to embrace and lead change. Together, we unlock our collective potential to be bold and think big. We have a bias for action to solve customer needs in new and relevant ways.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Champion our Customers:</w:t>
      </w:r>
      <w:r>
        <w:rPr>
          <w:rFonts w:ascii="Times New Roman" w:hAnsi="Times New Roman"/>
          <w:color w:val="000000"/>
          <w:sz w:val="20"/>
        </w:rPr>
        <w:t xml:space="preserve"> We deliver on our promises, treating each order and interaction as an opportunity to deepen relationships by delivering great products, services and experiences. We hold ourselves accountable, and if we don’t deliver on a promise, we are committed to making it right.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Grow and Win Together:</w:t>
      </w:r>
      <w:r>
        <w:rPr>
          <w:rFonts w:ascii="Times New Roman" w:hAnsi="Times New Roman"/>
          <w:color w:val="000000"/>
          <w:sz w:val="20"/>
        </w:rPr>
        <w:t xml:space="preserve"> We are not playing a finite game. We are committed to building an enduring brand that outlives any of our individual contributions. We will grow together, deliver exceptional results together, celebrate wins together, have fun together, and leave the Domino’s brand in a better place for those that come after.</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Compensation and Benefits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Exceptional people are the core of our business. We are committed to providing competitive pay and benefits to attract and retain great talent, whether in our U.S. Company-owned stores, in our supply chain centers or in our corporate offices. We enable this by benchmarking and analyzing pay and benefits and we are committed to pay equity for all employees.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Domino’s offers a comprehensive benefits package to eligible team members, including several benefits designed to promote an inclusive workplace like paid parental leaves, adoption support, discounted childcare tuition, and health plans that are available to dependents, spouses and domestic partners and include fertility support. We also offer eligible team members a 401(k) plan, an Employee Stock Purchase Discount Program, education assistance, access to financial education, a back-up childcare network and access to legal assistance.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Beyond basic insurance programs, Domino’s offers other wellness services to help team members participating in our health plan manage and optimize their health. These no-cost programs include access to health coaching, smoking cessation, diabetes and hypertension management, at-home physical therapy for such team members, in addition to emotional support through Domino’s team member assistance program for all part-time and full-time team members and their dependents. Additionally, we provide up to 40 hours per year of sick time for all part-time and full-time team members, with no waiting period for our part-time team members who begin accruing sick pay on their first day of hire, and access to an outside wellness platform featuring thousands of videos on topics like mindfulness, exercise, nutrition, sleep, and financial well-being.</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Talent Development and Recruiting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Having best-in-class talent across the globe is crucial to all aspects of Domino’s business, brand and long-term success. We are focused on attracting, developing and retaining high-performing teams and building an inclusive culture that inspires leadership, encourages innovative thinking and supports the development and advancement of all team members. Domino’s team members are empowered to drive their own success through different resources, training and several development programs.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success will continue to depend on our ability to attract and retain qualified personnel to operate our stores, supply chain centers and international operations. To continue to strengthen our ability to attract and retain talent to ensure we have appropriate staffing to operate our stores and supply chain centers, we have an applicant tracking system and have made continued investments in frontline team member wage rates in our U.S. Company-owned stores and supply chain centers. We also review scores for our team member engagement surveys to identify strengths and opportunities for our brand.</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opportunity and potential at Domino’s is best represented in a key statistic: substantially all of our U.S. franchisees started as delivery drivers or in other in-store positions. With the vast majority of Domino’s U.S. franchisees developed from within our own system, the opportunity to become a small business owner is a profound and unique aspect of Domino’s culture and strength as a brand. Experienced store managers and other operators can apply for Franchise Management School (“FMS”). At FMS, these operators receive training for a successful transition from store management to store ownership.</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Empowering People Efforts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mission, rooted in our values, starts with our people. Domino’s team members have a passion for innovation and learning, a commitment to our core values and to delivering the joy of pizza worldwide. We believe that fostering a sense of belonging for everyone promotes a culture where anything is possible. That is why we are committed to building an environment that welcomes, seeks to understand and values everyone’s contribution. We are made better together.</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Team Member Engagement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Domino’s is committed to fostering an engaged culture in the workplace where people are respected and appreciated, and where team members listen, learn, and support each other. We define team member engagement as the strength of the connection team members feel toward the work they do, their teams and the overall organization. Every year our aim is to proactively and continuously listen to our team members’ sentiment around their work, direct manager, teams, culture, and overall commitment to the brand. Through deep analyses and leader-led listening sessions, we strive to validate our efforts and commit ourselves to making year-over-year improvement as we propel Domino’s to be a workplace of choice.</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Business Resource Groups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One of the ways we engage our team members is through our business resource groups (“BRGs”), which are open to all team members regardless of demographics. Our BRGs hold company-wide fireside chats featuring inclusive topics and speakers, provide best practice sharing, and help team members enhance professional skills and nurture meaningful work connections. Our five BRGs serve as trusted advisors to functional business groups while continuing to foster a culture of belonging, inclusion and allyship.</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Corporate Stewardship</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Domino’s stewardship vision is to </w:t>
      </w:r>
      <w:r>
        <w:rPr>
          <w:rFonts w:ascii="Times New Roman" w:hAnsi="Times New Roman"/>
          <w:i/>
          <w:color w:val="000000"/>
          <w:sz w:val="20"/>
        </w:rPr>
        <w:t xml:space="preserve">feed the power of possible </w:t>
      </w:r>
      <w:r>
        <w:rPr>
          <w:rFonts w:ascii="Times New Roman" w:hAnsi="Times New Roman"/>
          <w:color w:val="000000"/>
          <w:sz w:val="20"/>
        </w:rPr>
        <w:t>every day for the communities we serve, our people and the planet. We do this with our pizza and by living our values every day. Fulfilling this vision requires focusing on those efforts that are most important to our business and stakeholders. We have three pillars of stewardship that guide our work.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Planet: </w:t>
      </w:r>
      <w:r>
        <w:rPr>
          <w:rFonts w:ascii="Times New Roman" w:hAnsi="Times New Roman"/>
          <w:color w:val="000000"/>
          <w:sz w:val="20"/>
        </w:rPr>
        <w:t>We focus on science-based climate targets and actions to reduce our greenhouse gas emissions, address deforestation, and reduce impacts from water, waste, and packaging. We have established significant commitments on greenhouse gas emissions and in October 2024 our near-term and net zero targets were approved by the Science-Based Targets initiative (SBTi). We have established a commitment to achieve our near-term targets by 2032 and achieve net zero carbon emissions by 2050. We are committed to achieving zero deforestation across all primary commodities linked to deforestation and have established a deforestation policy in furtherance of this commitment.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People: </w:t>
      </w:r>
      <w:r>
        <w:rPr>
          <w:rFonts w:ascii="Times New Roman" w:hAnsi="Times New Roman"/>
          <w:color w:val="000000"/>
          <w:sz w:val="20"/>
        </w:rPr>
        <w:t xml:space="preserve">We create a company culture that provides a safe, inclusive workspace, with development pathways and supportive benefits. We have also strengthened our commitment to local communities and national partners.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Our national philanthropic partner is St. Jude Children’s Research Hospital</w:t>
      </w:r>
      <w:r>
        <w:rPr>
          <w:rFonts w:ascii="Times New Roman" w:hAnsi="Times New Roman"/>
          <w:color w:val="000000"/>
          <w:sz w:val="13"/>
        </w:rPr>
        <w:t>®</w:t>
      </w:r>
      <w:r>
        <w:rPr>
          <w:rFonts w:ascii="Times New Roman" w:hAnsi="Times New Roman"/>
          <w:color w:val="000000"/>
          <w:sz w:val="20"/>
        </w:rPr>
        <w:t>, which is internationally recognized for its pioneering work in finding cures and saving children with cancer and other catastrophic diseases. Through a variety of internal and consumer-based activities, including a national consumer fundraising campaign called St. Jude Thanks and Giving</w:t>
      </w:r>
      <w:r>
        <w:rPr>
          <w:rFonts w:ascii="Times New Roman" w:hAnsi="Times New Roman"/>
          <w:color w:val="000000"/>
          <w:sz w:val="13"/>
        </w:rPr>
        <w:t>®</w:t>
      </w:r>
      <w:r>
        <w:rPr>
          <w:rFonts w:ascii="Times New Roman" w:hAnsi="Times New Roman"/>
          <w:color w:val="000000"/>
          <w:sz w:val="20"/>
        </w:rPr>
        <w:t>, the Domino’s system has contributed approximately $162 million to St. Jude since our partnership began in 2004, including raising over $19 million in 2025. We have a commitment to raise a cumulative $300 million for St. Jude by 2034, the 30</w:t>
      </w:r>
      <w:r>
        <w:rPr>
          <w:rFonts w:ascii="Times New Roman" w:hAnsi="Times New Roman"/>
          <w:color w:val="000000"/>
          <w:sz w:val="13"/>
        </w:rPr>
        <w:t>th</w:t>
      </w:r>
      <w:r>
        <w:rPr>
          <w:rFonts w:ascii="Times New Roman" w:hAnsi="Times New Roman"/>
          <w:color w:val="000000"/>
          <w:sz w:val="20"/>
        </w:rPr>
        <w:t xml:space="preserve"> anniversary of our partnership.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also support the Domino’s Pizza Partners Foundation (the “Partners Foundation”). Founded in 1986, the mission of the Partners Foundation is “Team Members Helping Team Members.” Primarily funded by team member and franchise contributions, the Partners Foundation is a separate, not-for-profit organization that has disbursed nearly $16 million over the past five years. The Partners Foundation is committed to meeting the needs of Domino’s team members facing crisis situations, such as fire, illness, natural disasters or other personal tragedies.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Finally, our remaining corporate giving priorities center around topics that are highly relevant to ensuring our communities are places where we, our business, and our team members can thrive: hunger relief and farming. We recently expanded our multi-year commitments to No Kid Hungry and Future Farmers of America (FFA).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Pizza:</w:t>
      </w:r>
      <w:r>
        <w:rPr>
          <w:rFonts w:ascii="Times New Roman" w:hAnsi="Times New Roman"/>
          <w:color w:val="000000"/>
          <w:sz w:val="20"/>
        </w:rPr>
        <w:t xml:space="preserve"> We increase supply chain transparency through maintaining our supplier standards and food safety requirements, providing nutritional details, and maintaining our animal care standards.</w:t>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You can find more information about our initiatives and read our 2025 Corporate Stewardship Report, which includes both Sustainability Accounting Standards Board (SASB) and Global Reporting Initiative (GRI) indexed tables, at </w:t>
      </w:r>
      <w:r>
        <w:rPr>
          <w:rFonts w:ascii="Times New Roman" w:hAnsi="Times New Roman"/>
          <w:sz w:val="20"/>
        </w:rPr>
        <w:t>stewardship.dominos.com</w:t>
      </w:r>
      <w:r>
        <w:rPr>
          <w:rFonts w:ascii="Times New Roman" w:hAnsi="Times New Roman"/>
          <w:color w:val="000000"/>
          <w:sz w:val="20"/>
        </w:rPr>
        <w:t>. The information included in our Corporate Stewardship Report is not incorporated by reference herein and should not be considered a part of this document.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Additional Disclosures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Working Capital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Information about the Company’s working capital is included in Management’s Discussion and Analysis of Financial Condition and Results of Operations in Part II, Item 7.</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Government Regulation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along with our franchisees, are subject to various federal, state and local laws affecting the operation of our business. Each store is subject to licensing and regulation by a number of governmental authorities, which include zoning, health, safety, sanitation, building and fire agencies in the jurisdiction in which the store is located. In connection with maintaining our stores, we may be required to expend funds to meet certain federal, state and local regulations, including regulations requiring that remodeled or altered stores be accessible to persons with disabilities. Difficulties in obtaining, or the failure to obtain, required licenses or approvals could delay or prevent the opening of a new store in a particular area or cause an existing store to cease operations. Our supply chain facilities are also licensed and subject to similar regulations by federal, state and local health and fire codes.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also subject to the Fair Labor Standards Act and various other federal and state laws governing such matters as minimum wage requirements, overtime and other working conditions and citizenship requirements. Labor costs are largely a function of the minimum wage for a majority of our store personnel and certain supply chain personnel. A significant number of both our and our franchisees’ food service personnel are paid at rates related to the applicable minimum wage, and past increases in the minimum wage have increased labor costs, as would future increases.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subject to the rules and regulations of the Federal Trade Commission (“FTC”) and various state laws regulating the offer and sale of franchises. The FTC and various state laws require that we furnish a franchise disclosure document containing certain information to prospective franchisees, and a number of states require registration of the franchise disclosure document with state authorities. We are operating under exemptions from registration in several states based on our experience and the net worth of our subsidiary, Domino’s Pizza Franchising LLC. We believe our franchise disclosure document, together with any applicable state versions or supplements, and franchising procedures comply in all material respects with both the FTC guidelines and all applicable state laws regulating franchising in those states in which we have offered franchises.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Internationally, our franchise stores are subject to national and local laws and regulations that are often similar to those affecting our U.S. stores, including laws and regulations concerning franchises, advertising, labor, health, sanitation and safety. Our international stores are also often subject to tariffs and regulations on imported commodities, equipment and other products, and laws regulating foreign investment. We believe our international disclosure statements, franchise offering documents and franchising procedures comply in all material respects with the laws of the foreign countries in which we have offered franchises.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Privacy and Data Protection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are subject to a number of privacy and data protection laws and regulations both in the U.S. and globally. The legislative and regulatory landscape for privacy and data protection continues to evolve, and there has been an increase in attention given to privacy and data protection issues with the potential to directly affect our business. This includes recently-enacted laws and regulations in the U.S. and internationally requiring notification to individuals and government authorities of security breaches involving certain categories of personal information. Any changes in privacy or data protection laws or regulations could also impact our marketing techniques and could change our marketing strategies. We have a privacy policy posted on our website at </w:t>
      </w:r>
      <w:r>
        <w:rPr>
          <w:rFonts w:ascii="Times New Roman" w:hAnsi="Times New Roman"/>
          <w:sz w:val="20"/>
        </w:rPr>
        <w:t>dominos.com</w:t>
      </w:r>
      <w:r>
        <w:rPr>
          <w:rFonts w:ascii="Times New Roman" w:hAnsi="Times New Roman"/>
          <w:color w:val="000000"/>
          <w:sz w:val="20"/>
        </w:rPr>
        <w:t>. The security of our financial data, customer information and other personal information is a priority for us.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Trademarks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many registered trademarks and believe that the Domino’s mark and Domino’s Pizza names and logos, in particular, have significant value and are important to our business. Our policy is to pursue registration of our trademarks and to vigorously oppose the infringement of any of our trademarks. We license the use of our registered marks to franchisees through franchise agreements.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Environmental Matters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not aware of any federal, state or local environmental laws or regulations that we would expect to materially affect our earnings or competitive position or result in material capital expenditures. However, we cannot predict the effect of possible future environmental legislation or regulations. During 2025, there were no material environmental compliance-related capital expenditures, and no such material expenditures are anticipated in 2026.</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Available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makes available, free of charge, through its internet website </w:t>
      </w:r>
      <w:r>
        <w:rPr>
          <w:rFonts w:ascii="Times New Roman" w:hAnsi="Times New Roman"/>
          <w:sz w:val="20"/>
        </w:rPr>
        <w:t>ir.dominos.com</w:t>
      </w:r>
      <w:r>
        <w:rPr>
          <w:rFonts w:ascii="Times New Roman" w:hAnsi="Times New Roman"/>
          <w:color w:val="000000"/>
          <w:sz w:val="20"/>
        </w:rPr>
        <w:t xml:space="preserve">, its Annual Report on Form 10-K, Quarterly Reports on Form 10-Q, Current Reports on Form 8-K, proxy statements and amendments to those reports filed or furnished pursuant to Section 13(a), 15(d), or 16 of the Securities Exchange Act of 1934, as amended, as soon as reasonably practicable after electronically filing such material with the Securities and Exchange Commission. Materials filed with the Securities and Exchange Commission are available at </w:t>
      </w:r>
      <w:r>
        <w:rPr>
          <w:rFonts w:ascii="Times New Roman" w:hAnsi="Times New Roman"/>
          <w:sz w:val="20"/>
        </w:rPr>
        <w:t>sec.gov</w:t>
      </w:r>
      <w:r>
        <w:rPr>
          <w:rFonts w:ascii="Times New Roman" w:hAnsi="Times New Roman"/>
          <w:color w:val="000000"/>
          <w:sz w:val="20"/>
        </w:rPr>
        <w:t xml:space="preserve">. Retail orders from Domino’s stores can be made through its website </w:t>
      </w:r>
      <w:r>
        <w:rPr>
          <w:rFonts w:ascii="Times New Roman" w:hAnsi="Times New Roman"/>
          <w:sz w:val="20"/>
        </w:rPr>
        <w:t>dominos.com</w:t>
      </w:r>
      <w:r>
        <w:rPr>
          <w:rFonts w:ascii="Times New Roman" w:hAnsi="Times New Roman"/>
          <w:color w:val="000000"/>
          <w:sz w:val="20"/>
        </w:rPr>
        <w:t xml:space="preserve">. The reference to these website addresses anywhere in this Annual Report on Form 10-K (the “Form 10-K”) does not constitute incorporation by reference of the information contained on the websites and information appearing on those websites, including </w:t>
      </w:r>
      <w:r>
        <w:rPr>
          <w:rFonts w:ascii="Times New Roman" w:hAnsi="Times New Roman"/>
          <w:sz w:val="20"/>
        </w:rPr>
        <w:t>ir.dominos.com</w:t>
      </w:r>
      <w:r>
        <w:rPr>
          <w:rFonts w:ascii="Times New Roman" w:hAnsi="Times New Roman"/>
          <w:color w:val="0000FF"/>
          <w:sz w:val="20"/>
          <w:u w:val="single"/>
        </w:rPr>
        <w:t>,</w:t>
      </w:r>
      <w:r>
        <w:rPr>
          <w:rFonts w:ascii="Times New Roman" w:hAnsi="Times New Roman"/>
          <w:color w:val="000000"/>
          <w:sz w:val="20"/>
        </w:rPr>
        <w:t xml:space="preserve"> </w:t>
      </w:r>
      <w:r>
        <w:rPr>
          <w:rFonts w:ascii="Times New Roman" w:hAnsi="Times New Roman"/>
          <w:sz w:val="20"/>
        </w:rPr>
        <w:t>stewardship.dominos.com</w:t>
      </w:r>
      <w:r>
        <w:rPr>
          <w:rFonts w:ascii="Times New Roman" w:hAnsi="Times New Roman"/>
          <w:color w:val="000000"/>
          <w:sz w:val="20"/>
        </w:rPr>
        <w:t xml:space="preserve"> and </w:t>
      </w:r>
      <w:r>
        <w:rPr>
          <w:rFonts w:ascii="Times New Roman" w:hAnsi="Times New Roman"/>
          <w:sz w:val="20"/>
        </w:rPr>
        <w:t>dominos.com</w:t>
      </w:r>
      <w:r>
        <w:rPr>
          <w:rFonts w:ascii="Times New Roman" w:hAnsi="Times New Roman"/>
          <w:color w:val="000000"/>
          <w:sz w:val="20"/>
        </w:rPr>
        <w:t>, should not be considered a part of this document.</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 w:name="item1a_riskfactors"/>
      <w:bookmarkEnd w:id="3"/>
      <w:r>
        <w:rPr>
          <w:rFonts w:ascii="Times New Roman" w:hAnsi="Times New Roman"/>
          <w:b/>
          <w:color w:val="000000"/>
          <w:sz w:val="20"/>
        </w:rPr>
        <w:t>Item 1A. Risk Factors.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a business as large and globally diverse as Domino’s, a wide range of factors could materially affect future developments and performance. In addition to the factors affecting specific business operations identified in connection with the description of these operations and the financial results of these operations elsewhere in this report and our other filings with the SEC, we believe the most significant risk factors affecting our business include the following: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Business, Operational and Industry Risks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quick service restaurant (“QSR”) pizza category and the food service and food delivery markets in general are highly competitive and such competition could adversely affect our operating results.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the U.S., we compete primarily against national chains Pizza Hut</w:t>
      </w:r>
      <w:r>
        <w:rPr>
          <w:rFonts w:ascii="Times New Roman" w:hAnsi="Times New Roman"/>
          <w:color w:val="000000"/>
          <w:sz w:val="13"/>
        </w:rPr>
        <w:t>®</w:t>
      </w:r>
      <w:r>
        <w:rPr>
          <w:rFonts w:ascii="Times New Roman" w:hAnsi="Times New Roman"/>
          <w:color w:val="000000"/>
          <w:sz w:val="20"/>
        </w:rPr>
        <w:t>, Papa John’s</w:t>
      </w:r>
      <w:r>
        <w:rPr>
          <w:rFonts w:ascii="Times New Roman" w:hAnsi="Times New Roman"/>
          <w:color w:val="000000"/>
          <w:sz w:val="13"/>
        </w:rPr>
        <w:t>®</w:t>
      </w:r>
      <w:r>
        <w:rPr>
          <w:rFonts w:ascii="Times New Roman" w:hAnsi="Times New Roman"/>
          <w:color w:val="000000"/>
          <w:sz w:val="20"/>
        </w:rPr>
        <w:t xml:space="preserve"> and Little Caesars Pizza</w:t>
      </w:r>
      <w:r>
        <w:rPr>
          <w:rFonts w:ascii="Times New Roman" w:hAnsi="Times New Roman"/>
          <w:color w:val="000000"/>
          <w:sz w:val="13"/>
        </w:rPr>
        <w:t>®</w:t>
      </w:r>
      <w:r>
        <w:rPr>
          <w:rFonts w:ascii="Times New Roman" w:hAnsi="Times New Roman"/>
          <w:color w:val="000000"/>
          <w:sz w:val="20"/>
        </w:rPr>
        <w:t xml:space="preserve"> as well as regional, independent and local establishments. Internationally, we compete primarily with Pizza Hut</w:t>
      </w:r>
      <w:r>
        <w:rPr>
          <w:rFonts w:ascii="Times New Roman" w:hAnsi="Times New Roman"/>
          <w:color w:val="000000"/>
          <w:sz w:val="13"/>
        </w:rPr>
        <w:t>®</w:t>
      </w:r>
      <w:r>
        <w:rPr>
          <w:rFonts w:ascii="Times New Roman" w:hAnsi="Times New Roman"/>
          <w:color w:val="000000"/>
          <w:sz w:val="20"/>
        </w:rPr>
        <w:t>, Papa John’s</w:t>
      </w:r>
      <w:r>
        <w:rPr>
          <w:rFonts w:ascii="Times New Roman" w:hAnsi="Times New Roman"/>
          <w:color w:val="000000"/>
          <w:sz w:val="13"/>
        </w:rPr>
        <w:t>®</w:t>
      </w:r>
      <w:r>
        <w:rPr>
          <w:rFonts w:ascii="Times New Roman" w:hAnsi="Times New Roman"/>
          <w:color w:val="000000"/>
          <w:sz w:val="20"/>
        </w:rPr>
        <w:t xml:space="preserve"> and country-specific national, regional and independent or local companies. We have and may continue to experience increased competition from existing or new companies in the delivery and carryout pizza categories, in addition to competition from order and delivery aggregators and other players both in the pizza category and more broadly, that may create further pressures to grow our business in order to maintain our market share. Competition for both customers and drivers from these order and delivery aggregators and other food delivery services has substantially increased as order and delivery aggregators have grown in size and scale and have diversified the food offerings available for delivery. Additionally, we face competition from supermarkets and meal kit and food delivery providers, with the proliferation of prepared food and meal kit offerings, expansion in meal delivery platforms and services and the trend towards convergence in grocery, deli, retail and restaurant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also compete more broadly with QSRs and other international, national, regional and independent or local restaurants. The overall food service market, food delivery market and the QSR market are intensely competitive with respect to food quality, price, service, image, convenience and concept, and are often affected by changes in: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consumer tastes and perceptions;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international, national, regional or local economic conditions;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marketing, advertising and pricing, including both price increases and discounting, and publicity;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macroeconomic changes, disposable purchasing power and demographic trends;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currency fluctuations and geopolitical considerations related to international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compete within the food service market and the QSR market not only for customers, but also for management and employees, including store team members, drivers and qualified franchisees, as well as suitable real estate sites. Comparable store sales remain important in the restaurant industry and the QSR pizza category, which has historically grown on an annual basis, may not grow as quickly as other categories within the food service industry. Future sales are not possible to estimate, and it is unclear what future sales will be. Our success is also dependent in large part upon our ability to maintain and enhance the goodwill and reputation of our brand, our customers’ connection to our brand, and a positive relationship with our franchisees and the communities in which we and our franchisees operate.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supply chain segment is also subject to competition from outside suppliers. While substantially all U.S. franchisees purchased food and other products from us and our suppliers in 2025, U.S. franchisees are not required to purchase food and other products from us, and they may choose to purchase from outside suppliers. If other suppliers who meet our qualification standards were to offer lower prices or better service to our franchisees for their ingredients and supplies and, as a result, our franchisees chose not to purchase from our U.S. supply chain centers, our financial condition, business and results of operations would be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are unable to maintain our competitive position, we could experience downward pressure on prices, lower demand for products, reduced margins, loss of management or employees, reduced service levels, disruption in our supply chain, the inability to take advantage of new business opportunities, store closures and the loss of market share, all of which would have an adverse effect on our operating results and could cause our stock price to decline.</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successfully implement our growth strategy, which includes opening new stores and generating more sales, our ability to increase our revenues and operating profits could be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significant component of our Hungry for MORE growth strategy includes the opening of new U.S. (both Company-owned as well as franchised stores) and international franchised stores to generate more global retail sales and ultimately increase operating income. We may not be able to execute our strategy to achieve our planned growth targets. We and our franchisees face many challenges in opening new stores,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construction, permitting or development delays;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employment and training of qualified personnel, including availability of store team members;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selection and availability of suitable new store sites and the ability to renew leases in quality locations;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availability and negotiation of leases and financing with acceptable terms;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securing required U.S. or foreign governmental permits, licenses and approvals;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general economic and business conditions, including increases in food costs, build costs and labor costs or pressured consumer spending, which could impact profitability and demand for new stores.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opening of additional franchise stores also depends, in part, upon the availability of suitable prospective franchisees who meet our criteria, the ability of these franchisees to attract and retain qualified personnel and their desire to open new stores and ability to operate those stores effectively. Our failure to add new stores or closures of existing stores would impact global retail sales and adversely affect our ability to increase revenues and operating income. Additionally, our growth strategy and the success of new stores depend in large part on the availability of suitable store sites and leases. We and our franchisees are currently planning to expand our U.S. and international operations in many of the markets where we currently operate and in select new markets. This may require considerable management time as well as start-up expenses for market development before any significant revenues and earnings are generated. Operations in new markets may achieve low margins or may be unprofitable, and expansion in existing markets may be affected by local economic and market conditions. In addition, we expect to continue our strategy of building additional stores in markets and regions where we have existing stores, a strategy we refer to as “fortressing,” which may negatively impact sales at existing stores. This strategy could also result in store closures if executed too rapidly, as seen in certain international markets in recent years. Therefore, as we continue to expand, we or our franchisees may not experience the anticipated store-level profitability or gross margins, our results of operations may be negatively impacted, and our stock price may decline. Our net store growth figures could also be impacted by higher closure rates. Additionally, we have an equity investment in DPC Dash Ltd (“DPC Dash”), as further discussed elsewhere in this report. Through its subsidiaries, DPC Dash serves as the Company’s master franchisee in China that owns and operates Domino’s Pizza stores in that market. These types of investments are inherently risky. If DPC Dash does not succeed or is unable to successfully execute its growth strategy, we could lose some or all of our investment value.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part of our growth strategy, we may decide to increase or decrease the number of Company-owned stores, either by refranchising existing Company-owned stores or by purchasing existing franchised stores, as we have done in the past. Our failure to successfully execute these transactions could have an adverse effect on our operating results and could cause our stock price to decline.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Another component of our growth strategy also involves our ongoing participation on the third-party aggregator marketplace. This avenue for sales may ultimately prove to be unsuccessful and sales or the potential size of this opportunity may not meet our expectations. Our presence on the aggregator marketplace also introduces us to additional risks and uncertainties including the risk that orders on this marketplace may not have the same level of store-level profitability as orders through our owned channels. Our operating results and stock price may be adversely affected if we are not successful on aggregator platforms.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Increases in food, labor and other costs, labor shortages or negative economic conditions could adversely affect our profitability and operating results.</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recent years, there have been and may continue to be significant increases in food costs and labor costs, which have impacted and could further impact our profitability and that of our franchisees and which could impact the opening of new U.S. and international franchised stores, lead to store closures, negatively impact sales and adversely affect our operating results. Economic conditions, including the inflationary and cost pressures seen in recent years, may also impact the discretionary purchasing power of our customers, especially customers with less disposable income or for whom discretionary spending represents a smaller portion of their disposable income, resulting in decreased demand for our products. Matters having a broad global economic impact may also significantly impact particular costs, such as the impact of geopolitical conflict on our and our international master franchisees’ transportation and energy costs.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Health epidemics or pandemics have in the past and may in the future impact macroeconomic conditions, consumer behavior, labor availability and supply chain management, as well as local operations in impacted markets.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Labor shortages and increased turnover rates for our team members and those of our franchisees in past years have led to and could in the future lead to increased costs, such as increased overtime to meet demand and increased wage rates to attract and retain team members and could negatively affect our and our franchisees’ ability to efficiently operate our respective businesses and result in a negative impact on service and customer experience.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Factors such as inflation, increased food costs, increased labor and employee health and benefit costs, increased rent costs, increased transportation costs, increased insurance costs and increased energy costs may adversely affect our operating costs and profitability and those of our franchisees and could result in menu price increases, which could impact consumer demand. An economic environment characterized by high unemployment, high interest rates, cautious consumer spending, or changes in consumer practices due to a possible recession could also impact consumer spending or demand and our operating results. Most of the factors affecting costs are beyond our control and, in many cases, we may not be able to pass along these increased costs to our customers or franchisees and to the extent we were to raise menu prices to offset these costs, could result in decreased consumer demand, sales and profitability.</w:t>
      </w:r>
    </w:p>
    <w:p>
      <w:pPr>
        <w:pStyle w:val="TextBody"/>
        <w:bidi w:val="0"/>
        <w:jc w:val="left"/>
        <w:rPr>
          <w:rFonts w:ascii="Times New Roman" w:hAnsi="Times New Roman"/>
          <w:color w:val="000000"/>
          <w:sz w:val="20"/>
        </w:rPr>
      </w:pPr>
      <w:r>
        <w:rPr>
          <w:rFonts w:ascii="Times New Roman" w:hAnsi="Times New Roman"/>
          <w:color w:val="000000"/>
          <w:sz w:val="20"/>
        </w:rPr>
        <w:t>Most ingredients used in our pizza, particularly cheese, are subject to significant price fluctuations as a result of seasonality, weather, demand and other factors and we have experienced increased volatility in prices for some ingredients in recent years. Cheese, in particular, is a significant cost to us, representing approximately 25% of the food basket purchased by our Company-owned stores.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while we strive to engage in a competitive bidding process for our ingredients, because certain of these ingredients, including meat products, may only be available from a limited number of vendors, we may not always be able to do so effectively. Furthermore, if we need to seek new suppliers, including as a result of expiration of existing supply agreements, we may be subject to pricing or other terms less favorable to us than those reflected in our current supply arrangements. Labor costs are largely a function of the minimum wage for a majority of our and our franchisees’ store personnel and certain supply chain center personnel and, generally, are also a function of the availability of labor. In addition to the increases in labor costs described above, several jurisdictions in which we and our franchisees operate, including California, have recently approved minimum wage increases. Federal, state and local proposals that increase minimum wage requirements or mandate other employee matters could, to the extent implemented, materially increase labor, compliance and other costs. As more jurisdictions implement minimum wage increases, we expect that labor costs will continue to increase. These increased labor costs at Company-owned and franchised restaurants could impact their profitability and the desire to open new stores or renew the franchise agreements for existing stores and result in additional price increases, which could impact demand for our products or lead to operational changes. Further, these changes could prompt similar legislation in other states or localities. The advent of legislation aimed at predictive scheduling may impact labor for our stores and our franchisees’ stores. Additionally, certain employees of other companies in our industry have recently become unionized in the U.S. If a significant portion of our or our franchisees’ employees were to become unionized, our and our franchisees’ labor costs could increase and our business could be negatively affected by other union requirements that increase costs, disrupt our business, reduce flexibility and impact employee culture. Further, our responses to any union organizing efforts could negatively impact how our brand is perceived. Labor costs and food costs, including cheese, generally represent approximately 55% to 65% of the sales at a typical Company-owned store.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Shortages, interruptions or disruptions in the supply or delivery of fresh food products and store equipment could adversely affect our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and our franchisees are dependent on frequent deliveries of food products that meet our specifications as well as adequate supply of store equipment. We have single suppliers or a limited number of suppliers for certain of our ingredients, including pizza cheese and meat toppings. While we believe there are adequate reserve quantities and potential alternative suppliers, shortages, interruptions, or disruptions in the supply of food products and store equipment caused by increased demand, capacity constraints, expiration of existing agreements, problems in production or distribution, product recalls, financial or other difficulties of suppliers, inclement weather or other conditions could adversely affect the availability, quality and cost of ingredients and equipment. We have in the past experienced disruptions within our supply chain resulting from, among other things, capacity, volume, systems, staffing, operational challenges and center interruptions and may experience such supply chain disruptions again in the future, which could materially and adversely affect our business and operational results. Additionally, the effects of climate change could increase the frequency and duration of weather impacts on our operations and could adversely affect our operating results.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food service market is affected by consumer preferences and perceptions. Changes in these preferences and perceptions may reduce the demand for our products, which would reduce sales and harm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Food service businesses are affected by changes in consumer tastes, international, national, regional and local economic conditions, marketing, advertising, pricing, dietary and demographic trends. For instance, if prevailing regulatory guidance, health or dietary preferences cause consumers to avoid pizza and other products we offer in favor of foods that are perceived as healthier, or consumers shift away from delivery or carryout food, our business and operating results would be harmed. Moreover, because we are primarily dependent on a single product, if consumer demand for pizza should decrease, our business would suffer more than if we had a more diversified menu and the QSR pizza category may also not grow as quickly as other categories within the food service industry. Consumer preferences and demand for certain foods including pizza could also shift as a result of the increased use of prescription weight-loss therapies, including GLP-1 agonists and other related drugs. The preferences of customers also may change as a result of advances in technology or alternative delivery methods or channels as well as geopolitical considerations. If we are not able to respond to these changes, or our competitors respond to these changes more effectively than us, our operating results could be adversely affected.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Reports of product contamination, food-borne illness or food tampering or other events which may impact our reputation may reduce sales and harm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Reports, whether true or not, of product contamination, food-borne illnesses and injuries caused by food tampering have in the past severely injured the reputations and operating results of participants in the QSR market and could in the future as well. These events could occur both at the store and supply chain center levels. If such an event were to occur, we may not be able to respond to it quickly and effectively. The potential for disruptions affecting our global food supply also exists and, if such an event occurs, could have a negative impact on us and could severely hurt sales and profits. In addition, our reputation is an important asset; as a result, anything that damages our reputation could immediately and severely affect our sales and profits. Further, a boycott or other campaign critical of us, whether domestic or international, through social media or otherwise, could negatively impact our brand’s reputation and, consequently, sales. Media reports of product contamination, illnesses and injuries, whether accurate or not, could force some stores to close or otherwise reduce sales at such stores. Moreover, as further described below, social media and the rise of artificial intelligence-generated content has dramatically increased the rate at which negative publicity, including as it relates to food-borne illness, can be disseminated before there is any meaningful opportunity to respond to or address an issue. Even reports of food-borne illnesses or food tampering occurring solely at the restaurants of competitors could, by resulting in negative publicity about the restaurant industry in general, adversely affect us on a local, regional, national or international basis. Our international operations expose us to further risk as our master franchisees are responsible for obtaining their own supply of food and equipment, subject to their compliance with our quality standards. A decrease in sales due to these health concerns, any negative publicity or as a result of the closure of any Domino’s stores stemming from these matters could adversely affect our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do not have long-term contracts with certain of our suppliers, or have contracts which are set to expire, and as a result they could seek to significantly increase prices or fail to deliver.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do not have long-term contracts or arrangements, or have contracts which are set to expire, with certain of our suppliers. Although in the past we have not experienced significant problems with our suppliers, our suppliers may implement significant price increases or may not meet our requirements, including those that may result from increases in volume, in a timely fashion or at all. The occurrence of any of the foregoing could have a material adverse effect on the ability of our supply chain centers to deliver necessary products to our stores and those of our franchisees and on our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Any prolonged disruption in the operations of any of our dough manufacturing and supply chain centers could harm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U.S., we operate 22 regional dough manufacturing and supply chain centers, two thin crust manufacturing facilities and one vegetable processing center to our U.S. and certain international stores. We also operate five dough manufacturing and supply chain centers in Canada. We plan to continue investing in supply chain productivity initiatives in the future. Our U.S. dough manufacturing and supply chain centers service all of our Company-owned and substantially all of our U.S. franchise stores. Any prolonged disruption in the operations of any of these facilities, whether due to technical, systems, operational or labor difficulties, destruction or damage to the facility, real estate issues, limited capacity or other reasons, or our failure to successfully increase capacity and open new centers, have in the past and in the future could adversely affect our business and operating results.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international operations subject us to additional risk. Such risks and costs may differ in each country in which we and our franchisees do business and may cause our profitability to decline due to increased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conduct a significant and growing portion of our business outside the U.S. Our financial condition and results of operations have at times been and may in the future be adversely affected if global markets in which our franchised stores compete are affected by changes in political, economic or other factors. These factors, many over which neither we nor our master franchisees have control, may include both internal and external factors including: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recessionary or expansive trends in international markets and global markets and economic downturns;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changing labor conditions and difficulties in staffing and managing our foreign operations;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increases in the taxes we pay and other changes in applicable tax laws both in the U.S. and globally;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tariffs and trade barriers or foreign policy changes;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legal and regulatory changes, and the burdens and costs of compliance with a variety of foreign laws;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inflation rates or foreign exchange rates and the imposition of restrictions on currency conversion or the transfer of funds;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ongoing and new relationships between our master franchisees and order and delivery aggregators our master franchisees may partner with internationally and the success of those aggregators and relationships;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difficulty in collecting our royalties and longer payment cycles;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expropriation of private enterprises;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inherent risk of doing business in China resulting from our equity investment in DPC Dash;</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national and international conflicts, sanctions, acts of war or terrorist acts;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increases in anti-American sentiment and the identification of Domino’s as an American brand, including those seen as a result of global geopolitical tensions and further escalations and the impact thereof;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political and economic instability and uncertainty around the world and related geopolitical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an increase in tariffs and any similar or retaliatory tariffs or trade policies could disrupt and increase the costs of our supply chains and those of our master franchisees in relation to certain products that we and they source internationally.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earnings and business growth strategies depend on the success of our franchisees, and we may be harmed by actions taken by our franchisees, or employees of our franchisees, which are outside of our control.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significant portion of our earnings comes from royalties and fees generated by our franchise stores. Franchisees are independent operators, and their employees are not our employees. We provide tools that franchisees can consider using in training their employees, but the quality of franchise store operations and our brand and branded products may be diminished by numerous factors beyond our control. Consequently, franchisees may not operate stores in a manner consistent with our standards and requirements or they or their employees may take other actions that adversely affect the value of our brand and harm our business and reputation. Our success also depends in part on continuing positive relationships with our franchisees (and positive relationships between our international master franchisees and their corresponding sub-franchisees) and if those relationships were to deteriorate, our revenues and stock price could decline. While we try to ensure that franchisees maintain the quality of the Domino’s brand and branded products and comply with their franchise agreements, franchisees may take actions that adversely affect the value of our intellectual property or reputation or that are inconsistent with their contractual obligations. Although our franchise arrangements permit the applicable franchisor to terminate a franchise agreement in certain circumstances, including the failure by franchisees to uphold product or operating standards, there is no assurance that such remedy will be available or sufficient to prevent harm to our brand and protect our intellectual property.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28, 2025, we had 754 independent U.S. franchisees operating 6,924 U.S. franchise stores. As of that same date, 24 of these franchisees each owned and operated more than 50 stores, including our largest U.S. franchisee who owned and operated 160 stores, and the average U.S. franchisee owned and operated approximately nine stores. Our international master franchisees are generally responsible for the development of significantly more stores than our U.S. franchisees. As a result, our international operations are more closely tied to the success of a smaller number of franchisees than our U.S. operations. As of December 28, 2025, our largest international master franchisee operated 3,524 stores in 12 international markets, which accounted for approximately 24% of our international store count. Our U.S. and international franchisees may not operate their franchises successfully. If one or more of our key franchisees were to be unsuccessful, become insolvent or otherwise were unable or unwilling to pay us our royalties or other amounts owed, our business and results of operations would be adversely affected.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were to be unable or fail to recognize, respond to and effectively manage the accelerated impact of social media and/or generative artificial intelligence (“AI”) or become the subject of a boycott, our business could be adversely impacted.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use of social media platforms and other consumer-oriented technologies, including generative AI, has increased the speed and accessibility of information dissemination and given users the ability to more effectively organize collective actions such as boycotts and other brand-damaging behaviors. Negative publicity related to our brand, products, operations, or stores or related to our operations or actions by our executives, team members or franchisees and their team members or others perceived to be associated with our brand could harm our business, brand, reputation, marketing partners, financial condition and results of operations, regardless of the accuracy of such negative publicity. Failure to use or respond to social media campaigns effectively could lead to a decline in brand value and revenue.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success depends in part upon effective advertising, and lower advertising funds may reduce our ability to adequately market the Domino’s Pizza brand.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been routinely named a Leading National Advertiser by Advertising Age and our success depends in part on continued effective advertising. Each Domino’s store located in the U.S. is obligated to contribute 6.0% of its sales to DNAF, which uses such fees for national advertising in addition to contributions for local market-level advertising. We currently anticipate that this 6.0% obligation will remain in place for the foreseeable future, though the actual contribution rate could be lower in certain instances due to certain incentives and waivers. While additional funds for advertising in the past have been provided by us, our franchisees and other third parties, none of these additional funds are legally required. The lack of continued financial support for advertising activities or a limitation on our ability to advertise certain offers could significantly curtail our marketing efforts, which may in turn affect our business and our operating results.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Loss of key employees or our inability to attract and retain new qualified employees could hurt our business and inhibit our ability to operate and grow successfully.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success in the highly competitive pizza delivery and carryout business will continue to depend to a significant extent on our leadership team and other key management personnel. Although we have entered into employment agreements with Russell J. Weiner and Joseph H. Jordan, each of these executives may terminate his agreement on ninety days’ notice and our other executive officers may do the same. As a result, we may not be able to retain our executive officers and key personnel or attract additional qualified management.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While we do not have long-term employment agreements with our executive officers, for all of our executive officers we have non-compete and non-solicitation agreements that extend for 24 months following the termination of such executive officer’s employment. Our success will also continue to depend on our ability to attract and retain qualified personnel to operate our stores, dough manufacturing and supply chain centers, corporate offices and international operations. The loss of these employees or our inability to recruit and retain qualified personnel, including general managers or other store-level team members, or our inability to adequately respond to changes in the labor market, could adversely affect our operating results. Changes we make to our current and future work environments may not meet the needs or expectations of our employees and may be perceived as less favorable compared to other companies’ policies, which could negatively impact our ability to hire and retain qualified personnel.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not be able to adequately protect our intellectual property, which could harm the value of our brand and branded products and adversely affect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depend in large part on our brand and branded products and believe that they are very important to our business. We rely on a combination of trademarks, copyrights, domain names, patents, trade secrets and similar intellectual property rights to protect our brand and branded products. The success of our business depends on our continued ability to use our existing trademarks in order to capitalize on our name recognition, increase brand awareness and further develop our branded products in both U.S. and international markets. We have registered certain trademarks and have other trademark applications pending in the U.S. and foreign jurisdictions. Not all of the trademarks or domain names that we currently use or contemplate using have been registered in all of the countries in which we do business, and they may never be registered in all of these countries. Some countries’ laws do not protect unregistered trademarks at all, or make them more difficult to enforce, and third parties may have filed for “Domino’s” or similar marks in countries where Domino’s has not registered its brand for reasons including lack of presence by the brand where actual use is required to obtain trademark registration.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certain countries have use requirements to maintain a trademark registration. In those countries where we do not currently operate but have registered trademarks, we may be unable to renew those registrations when they expire due to non-use. Accordingly, we may not be able to adequately protect our trademarks everywhere in the world and our use of these trademarks may result in liability for trademark infringement, trademark dilution or unfair competition. All of the steps we have taken to protect our intellectual property globally may not be adequate. In addition, the laws of some foreign countries do not protect intellectual property rights to the same extent as the laws of the U.S. We may, from time to time, be required to institute or defend litigation to enforce our intellectual property rights, or to protect our trade secrets. Such litigation could result in substantial costs and diversion of resources and could negatively affect our sales, profitability and prospects regardless of whether we are able to successfully enforce our rights.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occurrence of cyber incidents, or a deficiency in cybersecurity, could negatively impact our business by causing a disruption to our operations, a compromise or corruption of confidential information, or damage to our employee and business relationships, any of which could subject us to loss and harm our brand.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cyber incident is considered to be any adverse event that threatens the confidentiality, integrity or availability of information resources. More specifically, a cyber incident is an intentional attack or an unintentional event that can include gaining unauthorized access to systems to disrupt operations, corrupt data or steal confidential information about customers, franchisees, suppliers or employees. Many retailers and other companies have recently experienced serious cyber incidents and breaches of their information technology systems. As our reliance on technology has increased, so have the risks posed to our systems, both internal and those we have outsourced, and we may further be negatively impacted to the extent outdated or legacy systems cease to function appropriately. We have in the past been and in the future may also be subject to negative impacts to our business caused by cyber incidents relating to our third-party service providers or the service providers of those third parties or our franchisees.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primary risks that could directly result from the occurrence of a cyber incident include operational interruption, damage to our relationships with customers, franchisees and employees, private data exposure, including payment card or other financial data, publicity impact and regulatory fines. In addition to maintaining insurance coverage to address cyber incidents, we have also implemented processes, procedures and controls to help mitigate these risks. The costs related to cyber or other security threats or disruptions may not be fully insured or indemnified by others, including by our service providers and these measures, as well as our increased awareness of the risk of a cyber incident, do not guarantee that our reputation and financial results will not be materially and adversely affected by such an incident. Our business continuation or disaster recovery programs may not be sufficient to mitigate the harm that could result from such disaster or disruption, and insurance and other safeguards may only partially reimburse us for our losses, if at all. The continued rise in AI technologies may intensify our cybersecurity risks.</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depend on the performance of suppliers, aggregators, service providers and other third parties in our business operations. Third-party business processes we utilize include information technology, gift card authorization and processing, payment processing, benefits, and other accounting and business services. The failure of our suppliers, aggregators, service providers and other third parties to maintain adequate controls or comply with our expectations and standards could have a material adverse effect on our business. Our and our franchisees’ operations depend upon our ability and the ability of franchisees, third-party service providers and the service providers of those third parties (as well as franchisees’ third-party service providers and the service providers of those third parties) to protect computer equipment and systems against damage from theft, fire, power loss, telecommunications failure and other catastrophic or unanticipated events, as well as internal and external security incidents, viruses, denial-of-service attacks, phishing attacks, ransomware attacks and other intentional or unintentional disruptions. The rapid evolution and continued increased adoption of AI technologies amplifies these concerns.</w:t>
      </w:r>
    </w:p>
    <w:p>
      <w:pPr>
        <w:pStyle w:val="TextBody"/>
        <w:bidi w:val="0"/>
        <w:jc w:val="left"/>
        <w:rPr>
          <w:rFonts w:ascii="Times New Roman" w:hAnsi="Times New Roman"/>
          <w:color w:val="000000"/>
          <w:sz w:val="20"/>
        </w:rPr>
      </w:pPr>
      <w:r>
        <w:rPr>
          <w:rFonts w:ascii="Times New Roman" w:hAnsi="Times New Roman"/>
          <w:color w:val="000000"/>
          <w:sz w:val="20"/>
        </w:rPr>
        <w:t>A significant portion of our retail sales depends on the continuing operation of our information technology and communications systems, including DOM OS, our online and mobile ordering platforms and our credit card processing systems. The failure of these systems to operate effectively, stemming from maintenance problems, upgrading or transitioning to new platforms, a compromise in our security or other unanticipated problems has at times in the past and in the future could result in interruptions to or delays in our and our franchisees’ operations, and some of our systems are not fully redundant. The occurrence of a natural disaster, intentional sabotage or other unanticipated problems could result in lengthy interruptions in service. Remote working could also exacerbate certain risks to our business, including an increased risk of cyber incidents and improper dissemination of personal or confidential information.</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the implementation of technology changes and upgrades to maintain and upgrade our systems, errors or vulnerabilities in our systems, or damage to or failure of our systems, including because of systems becoming obsolete, could result in interruptions in our services and non-compliance with certain laws or regulations, which could reduce our sales, revenues and profits and damage our business and brand.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we and our franchisees accept electronic forms of payment from customers including credit cards, our business requires the collection and retention of customer data, including sensitive financial data and other personally identifiable information in various information systems that are maintained by third parties with whom we and our franchisees contract to provide payment processing. A weakness in such third party’s systems or software products (or in the systems or software products in the service providers of those third parties) may provide a mechanism for a cyber threat. In recent years, a significant number of companies have experienced data breaches in which customer information was stolen through vendor access channels. Cyber-attacks and data breaches at a payment processing contractor could compromise confidential information or adversely affect our ability to deliver products and services to our customers. There is also a potential heightened risk of cyber security incidents as a result of geopolitical events outside of our control. These problems could negatively affect our results of operations, and remediation could result in significant, unplanned capital investments.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also maintain important internal Company data, such as personally identifiable information about our employees and franchisees and information relating to our operations. In addition, more than 85% of our U.S. retail sales in 2025 were derived from digital channels, primarily through our online ordering website and mobile applications, where customers enter personally identifiable information that we retain. Our use and retention of personally identifiable information is regulated by foreign, federal and state laws and regulations, as well as by certain third-party agreements. For example, the State of California has adopted the California Privacy Rights Act of 2020, an amendment to the California Consumer Privacy Act, and numerous other states have adopted similar comprehensive data protection laws, which may require companies to change their practices for handling of personal data, including allowing consumers to request that we delete certain personal data. In addition, the State of New York promulgated the New York SHIELD Act, like laws in several other states, which imposes obligations on businesses to implement physical, administrative and technical security measures to protect personal data.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privacy and information security laws and regulations change, we may incur additional costs aimed at ensuring that we are in compliance with those laws and regulations, and our current and future planned uses of personal and other data may be adversely affected by future adopted privacy and information security laws, regulations and rulings. If our security and information systems are compromised or if we, our employees or franchisees fail to comply with these laws, regulations or contract terms, or to successfully implement processes related to requirements, laws and regulations governing cyber incidents, it could require us to notify customers, employees or other groups. This could result in adverse publicity, loss of sales and cash flows, increased fees payable to third parties and fines, penalties or remediation and other costs that could adversely affect our reputation, business and results of operations. Any other material disruption or other adverse event affecting one or more of our digital ordering platforms, including, for instance, power loss, technological or systems failures, user error or cyber-attacks, could similarly result in adverse publicity, loss of sales and cash flows and other costs, which could in turn materially and adversely affect our reputation, business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cannot predict the impact that new or improved technologies, alternative methods of delivery or changes in consumer or employee behavior facilitated by these technologies and alternative methods of delivery will have on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Advances in technologies or alternative methods of delivery, including advances in digital ordering technology and autonomous vehicle delivery, or certain changes in consumer behavior driven by these or other technologies and methods of delivery could have a negative effect on our business and market position. Moreover, technology and consumer offerings continue to develop, and we expect that new or enhanced technologies and consumer offerings will be available in the future. We may pursue certain of those technologies and consumer offerings if we believe they offer a sustainable customer proposition and can be successfully integrated into our business model. However, we cannot predict consumer acceptance of these delivery channels or their impact on our business.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may incorporate traditional and generative AI solutions into our business, and these solutions may become important in our operations over time. The use of these AI solutions may expose us to additional risks and expenses, including, for example, if we were to incorporate AI technologies which we become dependent on or fail to adopt AI in a timely or effective manner.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our competitors, some of whom have greater resources than we do, may be able to benefit more from changes in technologies or consumer acceptance of alternative methods of delivery. There can be no assurance that we will be able to successfully respond to changing consumer preferences, including with respect to new technologies and alternative methods of delivery, or to effectively adjust our product mix, service offerings, and marketing and merchandising initiatives for products and services that address, and anticipate advances in, technology and market trends. Alternative methods of delivery may also impact the potential labor pool from which we recruit our delivery drivers and could reduce the available supply of labor. If we are not able to successfully respond to these challenges, our business could be materially and adversely affected.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a variety of additional risks associated with our franchise system and franchisees.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franchise system subjects us to a number of additional risks, any one of which may impact our ability to collect royalty payments and fees from our franchisees, may harm the goodwill associated with our brand, and/or may materially and adversely impact our business and results of operations. Such risks may also apply to us as owners of stores. These risks include, but are not limited to:</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those relating to the application of local, state, federal and foreign bankruptcy laws and other applicable laws governing creditors’ rights generally and the impact such laws could have on our ability to collect payments and fees under applicable franchise agreements;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those relating to franchisee insurance, including the inadequacy of, or inability to obtain, insurance coverage, losses in excess of policy limits or payments not being made on a timely basis, extraordinary hazards not being subject to coverage (or only being subject to coverage at prohibitively high rates) or third parties seeking to recover losses from us to the extent those losses experienced by such third parties are either not covered by the franchisee’s insurance or exceed the policy limits of the franchisee’s insurance;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those relating to franchisees that are operating entities, which generally are not limited-purpose entities, including business, operational, credit, financial and other risks in addition to risks related to unions;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those relating to franchisee changes in control and succession in general and the ability to find acceptable successors who are able to perform a former franchisee’s obligations under applicable franchise agreements or successfully operate impacted stores in the event of a change of control or other succession event;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those relating to instances of termination of or default under a franchisee’s franchise agreement or the non-renewal thereof at the end of such agreement’s expiration date and the corresponding impact on the franchisee’s or our operations;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those relating to product liability exposure or noncompliance with labor and employment, health and safety regulations and the impact such events could have on a franchisee’s ability to make payments under applicable franchise agreements, on us if an aggrieved party seeks to recover their losses from us and on our brand’s reputation;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imposition of injunctive relief, fines, damage awards or capital expenditures under laws or regulations that could adversely affect the ability of a franchisee to make payments under applicable franchise agreements;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litigation involving franchisees, including litigation involving us or litigation involving a third-party directed at a franchisee, which could impede the ability of a defendant-franchisee to make its royalty payments and divert our resources regardless of whether the allegations in such litigation are valid or whether we are liable;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those relating to the general reliance of a franchised store business on its franchisees, both domestic and international, and the nature of franchisees in general, including the successful operations and retention of franchisees in the future or our ability to attract, retain, and motivate sufficient numbers of franchisees of the same caliber in the future as well as our ability to maintain a positive and constructive relationship with our franchisees.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current insurance coverage may not be adequate, insurance premiums for such coverage may increase and we may not be able to obtain insurance at acceptable rates, or at all.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certain periods prior to December 1998 and for periods after December 2001, we maintain insurance coverage for workers’ compensation, general liability and owned and non-owned automobile liabilities. We are generally responsible for up to $1.0 million per occurrence under these retention programs for workers’ compensation and up to $2.0 million per occurrence under these retention programs for general liability, depending on policy year and line of coverage. We are generally responsible for between $2.0 million and $5.5 million per occurrence under these retention programs for owned and non-owned automobile liabilities, depending on policy year and line of coverage. Total insurance limits under these retention programs vary depending upon the period covered and range up to $112.5 million per occurrence for general liability and owned and non-owned automobile liabilities and up to the applicable statutory limits for workers’ compensation. These insurance policies may not be adequate to protect us from liabilities that we incur in our business. In addition, in the future our insurance premiums may increase, and we may not be able to obtain similar levels of insurance on reasonable terms, or at all. Any such inadequacy of, or inability to obtain insurance coverage could have a material adverse effect on our business, financial condition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Environmental, social and governance matters may impact our business and reputation.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the importance of their financial performance, companies are often judged by their performance on a variety of environmental, social and governance (“ESG”) matters, which are considered to contribute to the long-term sustainability of companies’ performance. A number of institutional investors have publicly emphasized the importance of such ESG matters to their investment decisions. We have established significant commitments on greenhouse gas emissions and in October 2024 our near-term and net zero targets were approved by the Science Based Targets initiative (SBTi). We have established a commitment to achieve our near-term targets by 2032 and achieve net zero carbon emissions by 2050. Execution of these strategies and achievement of these goals are subject to risks and uncertainties, many of which are outside of our control and may prove to be more costly than we anticipate. These risks and uncertainties include, but are not limited to, our ability to execute our strategies and achieve our goals within the currently projected costs and the expected timeframes; unforeseen design, operational and technological difficulties; the outcome of research efforts and future technology developments; the success of our collaboration with franchisees and other third parties; and the actions of competitors and competitive pressures.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is no assurance that we will be able to successfully execute our strategies and achieve our goals. Failure to achieve our goals could damage our reputation and customer, investor and other stakeholder relationships and have an adverse effect on our business, results of operations and financial condition, as well as on our stock price. There also has been political focus on environmental sustainability matters, such as climate change, the reduction of greenhouse gases and water usage. Conversely, there has also been pushback to certain ESG initiatives in recent years which could also have an adverse effect in the event we were to become a target of pushback or subject to additional regulatory measures. Legislative, regulatory or other efforts to combat climate change or other ESG concerns could also result in new or more stringent forms of oversight and expanding mandatory and voluntary reporting, diligence and disclosure, which could increase costs, bring additional focus and further impact our business, results of operations and financial condition. Any failure or perceived failure by us to manage ESG issues successfully could have a material adverse effect on our reputation and on our business, results of operations, financial condition or stock price.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Indebtedness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substantial indebtedness could adversely affect our business and limit our ability to plan for or respond to changes in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 substantial amount of indebtedness. As of December 28, 2025, our consolidated total indebtedness was approximately $4.82 billion. We may also incur additional debt, which would not be prohibited under the terms of our current securitized debt agreements. Our substantial indebtedness could have important consequences for our business and our shareholders. For example, it could: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make it more difficult for us to satisfy our obligations with respect to our debt agreements;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increase our vulnerability to general adverse economic and industry conditions;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require us to dedicate a substantial portion of our cash flow from operations to payments on our indebtedness, thereby reducing the availability of our cash flow for other purposes;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limit our flexibility in planning for, or reacting to, changes in our business and the industry in which we operate, thereby placing us at a competitive disadvantage compared to our peers that may have less debt.</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our 2025 Variable Funding Notes bear interest at fluctuating interest rates that in certain circumstances is based on a forward-looking term rate based on the Secured Overnight Financing Rate (“Term SOFR”). There can be no assurance that the Federal Reserve Bank of New York (the “New York Fed”) will continue the publication of Term SOFR, and if the New York Fed discontinues the publication of Term SOFR, interest payments on our 2025 Variable Funding Notes would need to be calculated using a different index, or alter the manner in which Term SOFR is calculated. As a result, our interest expense could increase, in which event we may have difficulties making interest payments and funding our other fixed costs, and our available cash flow for general corporate requirements may be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interest expense could also be increased by rising interest rates. In addition, the financial and other covenants we agreed to with our lenders may limit our ability to incur additional indebtedness, make investments, pay dividends and engage in other transactions, and the leverage may cause potential lenders to be less willing to loan funds to us in the future. Our failure to comply with these covenants could result in an event of default that, if not cured or waived, could result in the acceleration of repayment of all of our indebtedness.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Downgrades in our credit ratings could impact our ability to access capital and materially and adversely affect our business,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debt is rated by credit rating agencies. These agencies may downgrade their credit ratings for us based on the performance of our business, our capital strategies or their overall view of our industry. There can be no assurance that any rating assigned to our currently outstanding indebtedness will remain in effect for any given period of time or that any such ratings will not be lowered, suspended or withdrawn entirely by a rating agency if, in that agency’s judgment, circumstances so warrant. A downgrade of our credit ratings could, among other things, increase our cost of borrowing, limit our ability to access capital or result in more restrictive covenants in agreements governing the terms of any future indebtedness that we may incur, and thereby could adversely impact our business and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be unable to generate sufficient cash flow to satisfy our significant debt service obligations, which would adversely affect our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ability to make principal and interest payments on and to refinance our indebtedness will depend on our ability to generate cash in the future. This, to a certain extent, is subject to general economic, financial, competitive, legislative, regulatory and other factors that may be beyond our control. If our business does not generate sufficient cash flow from operations, in the amounts projected or at all, or if future borrowings are not available to us under our variable funding notes in amounts sufficient to fund our other liquidity needs, our financial condition and results of operations may be adversely affected. If we cannot generate sufficient cash flow from operations to make scheduled principal amortization and interest payments on our debt obligations in the future, we may need to refinance all or a portion of our indebtedness on or before maturity, sell assets, delay capital expenditures or seek additional equity. If we are unable to refinance any of our indebtedness on commercially reasonable terms or at all or to affect any other action relating to our indebtedness on satisfactory terms or at all, our business may be harmed.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terms of our securitized debt financing of certain of our wholly-owned subsidiaries have restrictive terms and our failure to comply with any of these terms could put us in default, which would have an adverse effect on our business and prospects.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Unless and until we repay all outstanding borrowings under our securitized debt, we will remain subject to the restrictive terms of these borrowings. The securitized debt, under which certain of our wholly-owned subsidiaries issued and guaranteed fixed rate notes and variable funding senior revolving notes, contain a number of covenants, with the most significant financial covenant being a debt service coverage calculation. These covenants limit the ability of certain of our subsidiaries to, among other things: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sell assets and incur liens;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alter the business we conduct and engage in mergers, acquisitions and other business combinations;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incur, assume or permit to exist additional indebtedness or guarantees and make loans and investments;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declare dividends or redeem or repurchase capital stock;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enter into transactions with affiliates.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securitized debt also requires us to maintain specified financial ratios at the end of each fiscal quarter. These restrictions could affect our ability to pay dividends or repurchase shares of our common stock. Our ability to meet these financial ratios can be affected by events beyond our control, and we may not satisfy such a test. A breach of these covenants could result in a rapid amortization event or default under the securitized debt. If amounts owed under the securitized debt are accelerated because of a default under the securitized debt and we are unable to pay such amounts, the investors may have the right to assume control of substantially all of the securitized assets.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term following issuance, the outstanding senior notes will accrue interest in accordance with the terms of the debt agreements. Additionally, as of December 28, 2025, our fixed rate notes had original scheduled principal payments of $49.3 million in 2026, $1.34 billion in 2027, $836.4 million in 2028, $647.8 million in 2029, $495.0 million in 2030, $927.5 million in 2031 and $470.0 million in 2032.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accordance with our debt agreements, the payment of principal on the 2025 Five-Year Notes and 2025 Seven-Year Notes may be suspended if either the Holdco Leverage Ratio or Senior Leverage Ratio is less than or equal to 5.5x total debt to either Consolidated Adjusted EBITDA or Securitized Net Cash Flow, each as defined in the indenture governing the securitized debt, and no catch-up provisions are applicable. Further, in accordance with our debt agreements, the payment of principal on the 2021 Notes, 2019 Notes, 2018 9.25-Year Notes and 2017 Ten-Year Notes (refer to Note 3 to the consolidated financial statements) may be suspended if the Holdco Leverage Ratio is less than or equal to 5.0x total debt to Consolidated Adjusted EBITDA, each as defined in the indenture governing the securitized debt, and no catch-up provisions are applicable. Additional information regarding our debt agreements is included in Note 3 to our consolidated financial statements.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are unable to refinance or repay amounts under the securitized debt prior to the expiration of the term, our cash flow would be directed to the repayment of the securitized debt which would become due and payable on an accelerated schedule, and, other than a weekly management fee to cover certain operating expenses, would not be available for operating our business. No assurance can be given that any refinancing or additional financing will be possible when needed or that we will be able to negotiate acceptable terms. In addition, our access to capital is affected by prevailing conditions in the financial and capital markets and other factors beyond our control. There can be no assurance that market conditions will be favorable at the times that we require new or additional financing. The indenture governing the securitized debt will restrict the cash flow from the entities subject to the securitization to any of our other entities and upon the occurrence of certain events, cash flow would be further restricted. In the event that a rapid amortization event occurs under the indenture (including, without limitation, upon an event of default under the indenture or the failure to repay the securitized debt at the end of its term), the funds available to us would be reduced or eliminated, which would in turn reduce our ability to operate or grow our business.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Regulatory, Legal and Compliance Risks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face risks of litigation, investigations, enforcement actions and negative publicity from customers, franchisees, suppliers, employees, regulators and others in the ordinary course of business, which could divert our financial and management resources. Litigation, investigations, enforcement actions or publicity may adversely impact our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Claims of illness or injury relating to food quality or food handling are common in the food service industry, and vehicular accidents and injuries occur in the food delivery business. We are currently subject to these types of claims and have been subject to these types of claims in the past. Claims within our industry of improper supplier actions also occasionally arise that, if made against one of our suppliers, could potentially damage our brand image.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class action lawsuits have been filed, and may continue to be filed, against various QSRs alleging, among other things, that QSRs have failed to disclose the health risks associated with certain foods and that QSR marketing practices have encouraged obesity. State attorney general offices or other regulators have initiated and may in the future initiate investigations or enforcement actions against us. In addition to decreasing our sales and profitability and diverting our management resources, adverse publicity resulting from such allegations may materially and adversely affect us and our brand, regardless of whether such allegations are valid or whether we are liable, and could result in a substantial settlement, fine, penalty or judgment against us. Further, we may be subject to employee, franchisee and other claims in the future based on claims of, among other things, discrimination, harassment, working and safety conditions, wrongful termination and wage, expense reimbursement, rest break and meal break issues, including claims relating to minimum wage and overtime compensation. We and our franchisees have been and continue to be subject to these types of claims. If one or more of these claims were to be successful or if there is a significant increase in the number of these claims or if we receive significant negative publicity, our business, financial condition and operating results could be harmed.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2"/>
        </w:rPr>
        <w:br/>
      </w:r>
      <w:r>
        <w:rPr>
          <w:rFonts w:ascii="Times New Roman" w:hAnsi="Times New Roman"/>
          <w:b/>
          <w:i/>
          <w:color w:val="000000"/>
          <w:sz w:val="20"/>
        </w:rPr>
        <w:t>We and our franchisees are subject to extensive laws and government regulation and requirements issued by other groups and our failure to comply with existing or increased laws and regulations could adversely affect our business and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subject to numerous federal, state, local and foreign laws and regulations, as well as requirements issued by other groups, including those relating to:</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preparation, sale and labeling of food as well as nutrition;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building and zoning requirements and environmental protection;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labor and employment, including minimum wage, overtime, insurance, discrimination and other labor requirements as well as working and safety conditions;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franchise arrangements;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taxation;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antitrust;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payment card industry standards and requirements;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advertising, social media, information privacy and consumer protection.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It is uncertain how the policy priorities and initiatives of the current administration may impact the federal laws and regulations to which we are subject, and we are not able to predict the impact such changes may have on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subject to an FTC rule and to various state and foreign laws that govern the offer and sale of franchises. These laws regulate various aspects of the franchise relationship, including terminations and the refusal to renew franchises. The failure to comply with these laws and regulations in any jurisdiction or to obtain required government approvals could result in a ban or temporary suspension on future franchise sales, fines or other penalties or require us to make offers of rescission or restitution, any of which could adversely affect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and our franchisees face various regulatory and legislative efforts to enforce employment laws, such as efforts to categorize franchisors as the co-employers or joint employers of their franchisees’ employees or to aggregate individual franchised businesses and classify them as large employers for minimum wage or other employment-related purposes. In October 2023, the National Labor Relations Board (“NLRB”) adopted a final rule with a new and broader standard grounded in common law agency principles for determining when two or more otherwise unrelated employers may be found to be a joint employer of the same employees under the National Labor Relations Act (the “NLRA”). While the NLRB’s final rule was vacated in April 2024, returning the law to the NLRB’s prior rule that entities can be considered joint employers if they process and actually exercise “substantial direct and immediate control,” if a broader rule is ultimately enacted or adopted by the NLRB or other government agencies and/or applied generally to franchise relationships, it could cause us to be liable or held responsible for unfair labor practices and other violations of our franchisees and subject us to other liabilities, and require us to conduct collective bargaining negotiations regarding employees of totally separate, independent employers, most notably our franchisees. In such event, our operating expenses may increase as a result of required modifications to our business practices, increased litigation, governmental investigations or proceedings, administrative enforcement actions, fines and civil liability. Additionally, based upon the outcome and application of recent legal proceedings in federal court in California involving the California wage and hour laws in another franchise system, franchisors may be subject to claims that their franchisees should be treated as employees and not as independent contractors under the wage and hour laws of that state and, potentially, certain other states and localities with similar wage and hour laws. California Assembly Bill 5 (AB-5), which went into effect on January 1, 2020, codified the “ABC test” for determining whether a worker is an employee or an independent contractor, increasing the likelihood that workers will be deemed employees rather than independent contractors in California. Under AB-5, certain franchisees or their employees could be deemed employees of the franchisors. While active efforts to narrow the reach of AB-5 continue, a bill (SB 967), which was introduced specifically to exempt the relationship between a franchisor and franchisee from the scope of AB-5, was not successful in the legislature.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2020, the California electorate approved Proposition 22, the effect of which is to exempt app-based transportation (ride shares) and delivery drivers from the application of AB-5 by treating these workers as independent contractors, rather than employees, provided certain conditions are met. The ballot measure does not affect how AB-5 applies to other businesses and workers. Given that misclassification claims have been successful against or applied to a franchisor under AB-5 and may be successful under similar state laws, a franchisor could be liable to its franchisees (and potentially their employees) based the rights and remedies available to employees under such laws and, thereafter, have to treat its franchisees (and their employees) as the franchisor’s employees under these laws.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and our franchisees are subject to the Fair Labor Standards Act of 1938, as amended (the “FLSA”), which, along with the Family and Medical Leave Act, governs such matters as minimum wage and overtime requirements and other working conditions and various family leave mandates, as well as a variety of other laws enacted, or rules and regulations promulgated, by federal, state and local governmental authorities that govern these and other employment matters. We and our franchisees have experienced and expect further increases in payroll expenses as a result of government-mandated increases in the minimum wage, some specific to employees of national fast-food chains, which may be material, including as a result of California Assembly Bill No. 1228. Enactment and enforcement of various federal, state and local laws, rules and regulations on immigration and labor organizations may adversely impact the availability and costs of labor for Domino’s and franchisees’ stores in a particular area or across the United States. In addition, third-party suppliers may be affected by higher minimum wage standards, which may increase the price of goods and services they supply to us. Such increased expenses may cause our franchisees to exit the business or cause us to reduce the number of Company-owned stores, or otherwise adversely affect the amount of royalty payments and license fees we receive.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January 2020, the U.S. Department of Labor announced a final rule to update and clarify the definition of joint employer under the FLSA. Under the final rule, the general test for assessing whether a party can be deemed a joint employer would be based upon whether that party (i) hires or fires the employee; (ii) supervises and controls the employee’s work schedule or conditions of employment; (iii) determines the employee’s rate and method of payment; and (iv) maintains the employee’s employment records. In the final rule, the Department of Labor describes instances in which joint employment would not be more or less likely to be found to exist under the FLSA, which, according to the Department of Labor, includes the relationships that exist under the typical franchise business model. This rule may reduce a franchisor’s risk of liability that currently exists under the joint employer standard now in effect under the FLSA (though ultimately, the facts specific to the franchisor-franchisee model at issue would be considered when determining liability). In July 2021, the Department of Labor issued a final rule rescinding the 2020 rule. The Department of Labor may revert to the more expansive interpretation of joint employer that existed prior to the adoption of the 2020 rule and/or interpretations that could result in franchisors being held liable or responsible for FLSA violations by their franchisees. The rules of the Department of Labor are separate from the joint employer standard under the NLRA or, as described above, potential liability as a joint employer under the NLRA.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Laws targeting hidden fees and how businesses may advertise and/or market prices to consumers have been enacted in jurisdictions that include California and Minnesota, and these laws could impact our advertising, including advertising for our national offers and could result in litigation. To the extent our advertising is negatively impacted, our business could be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governmental authorities and private litigants have recently asserted claims against franchisors, including us, for provisions in our prior franchise agreements that restrict franchisees from soliciting or hiring the employees of other franchisees or the applicable franchisor. Claims against franchisors for such clauses include allegations that these clauses violate state and federal antitrust and unfair practices laws by restricting the free movement of employees of franchisees and/or franchisor (including the employees of Company-owned stores), thereby depressing the wages of those employees.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Patient Protection and Affordable Care Act (as amended, the “Affordable Care Act”) requires employers such as us to provide health insurance for all qualifying employees or pay penalties for not providing coverage. The majority of the increases in these costs began in 2015, and while the incremental costs of this program have not been material to us to date, we cannot predict what effect these costs will have on our results of operations and financial position, or the effects of the Affordable Care Act on some of our larger franchisees. Modifications to, or repeal of, all or certain provisions of the Affordable Care Act are also possible. Changes in tax laws or tax policy more broadly, increases in the enacted tax rates, adverse outcomes in connection with tax audits in any jurisdiction or any change in the pronouncements relating to accounting for income taxes could also impact our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may also become subject to legislation or regulation seeking to tax and/or regulate certain foods deemed to be “unhealthy,” and our capital expenditures could increase due to remediation and compliance measures related to any such laws or regulations.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Adverse government regulations and enforcement efforts or non-compliance by us or our franchisees with any of the foregoing laws and regulations could lead to various claims or governmental or judicial fines, sanctions or other enforcement measures, which could negatively impact our business.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Market and General Risks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Fluctuations in value of the U.S. dollar in relation to other currencies may lead to lower revenues and earnings.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Exchange rate fluctuations could have an adverse effect on our results of operations, and we have in the past experienced significant adverse changes in foreign currency rates. International franchise royalties and fees represented approximately 6.9%, 6.8% and 6.9% of our total revenues in 2025, 2024 and 2023, respectively, a majority of which were denominated in foreign currencies. We also operate dough manufacturing and distribution facilities in Canada, which generate revenues denominated in Canadian dollars. Sales made by franchised stores outside the U.S. are denominated in the currency of the country in which the store is located, and this currency could become less valuable in U.S. dollars as a result of exchange rate fluctuations. Unfavorable currency fluctuations could lead to increased prices to customers outside the U.S. or lower profitability to our franchisees outside the U.S., or could result in lower revenues for us, on a U.S. dollar basis, from such customers and franchisees. A hypothetical 10% adverse change in the foreign currency rates in our international markets would have resulted in a negative impact on international royalty revenues of approximately $30.0 million in 2025.</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annual and quarterly financial results are subject to significant fluctuations depending on various factors, many of which are beyond our control, and if we fail to meet the expectations of securities analysts or investors, our stock price may decline significantly or be subject to significant fluctuations.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annual and quarterly financial results and the perceptions thereof, including our sales and operating results, can vary significantly from quarter-to-quarter and year-to-year depending on various factors, many of which are beyond our control. These factors include, among other things: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variations in the timing and volume of our sales and our franchisees’ sales, including same store sales;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performance versus expectations of securities analysts or investors or against our guidance metrics, including a focus on comparable same store sales;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timing of expenditures in anticipation of future sales;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the cost or availability of our ingredients or labor;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planned or actual changes to our capital or debt structure;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strategic actions by us or our competitors, such as sales promotions, acquisitions or restructurings;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our dividend policy or any share repurchase program;</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significant litigation or legislation or other regulatory developments affecting us or our industry;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competitive and economic conditions generally as well as general market conditions;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foreign currency exposure.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operational performance may decline quickly and significantly in response to changes in order patterns, cost pressures, or rapid decreases in demand for our products. Any such decline may cause us and our franchisees to experience lower sales revenue. We anticipate that fluctuations in operating results will continue in the future, and such fluctuations may result in significant fluctuations or a significant decline in our stock price.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4" w:name="item1b_unresolved_staff_comments"/>
      <w:bookmarkEnd w:id="4"/>
      <w:r>
        <w:rPr>
          <w:rFonts w:ascii="Times New Roman" w:hAnsi="Times New Roman"/>
          <w:b/>
          <w:color w:val="000000"/>
          <w:sz w:val="20"/>
        </w:rPr>
        <w:t>Item 1B. Unresolved Staff Comments.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rPr>
      </w:pPr>
      <w:bookmarkStart w:id="5" w:name="item1c_cybersecurity"/>
      <w:bookmarkEnd w:id="5"/>
      <w:r>
        <w:rPr>
          <w:rFonts w:ascii="Times New Roman" w:hAnsi="Times New Roman"/>
          <w:b/>
          <w:color w:val="000000"/>
          <w:sz w:val="20"/>
        </w:rPr>
        <w:t>Item 1C. Cybersecurity.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Cybersecurity Governance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entire Board of Directors is engaged in risk management oversight, including the oversight of risks from cybersecurity threats. The Audit Committee assists the Board of Directors in its oversight of Domino’s company-wide risk management and the process established to identify, assess, measure, monitor and manage risks, including major information security and cybersecurity risks, with input from the Company’s internal committee dedicated to assessing and managing enterprise risk comprised of Company executives in addition to other senior leaders within the Company (the “Enterprise Risk Committee”).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Cybersecurity and related matters are a recurring topic at meetings of the Audit Committee and the Company’s Executive Vice President and Chief Technology and Data Officer (“CTO”) and Chief Information Security Officer (“CISO”) provide the Audit Committee with an update on the Company’s cybersecurity risk profile and strategy at multiple Audit Committee meetings each year. These updates include both qualitative and quantitative information on the effectiveness of the Company’s cybersecurity controls.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an operational level, the Company’s cybersecurity strategy is shaped by its CISO who is ultimately responsible for implementing the Company’s cybersecurity policies, procedures and strategy under the oversight of the Enterprise Risk Committee. The Company’s CISO regularly provides updates to the Enterprise Risk Committee at relevant meetings and provides additional updates to the Company’s Chief Executive Officer, Chief Operating Officer and President, Domino’s U.S., Executive Vice President and Chief Financial Officer, Executive Vice President, General Counsel and Corporate Secretary and CTO on a regular basis in between the meetings of the Enterprise Risk Committee. Such updates are designed to ensure the Enterprise Risk Committee and Company executives remain informed about and are able to monitor the prevention, detection, mitigation and remediation of cybersecurity incidents. The Company’s CISO has multiple decades of experience in the cybersecurity and information security fields with relevant experience supplemented by undergraduate and post-graduate degrees in information technology and security and completion of additional related executive education, along with holding several industry-recognized cybersecurity certifications. The Company’s CTO supplements the expertise and experience of the CISO.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oversight of the Enterprise Risk Committee, relevant information regarding the Company’s cybersecurity profile and any cybersecurity threats or incidents is then communicated during the regular updates to the Audit Committee in a process designed to ensure the Board of Directors and Audit Committee maintains appropriate oversight of the Company’s cybersecurity strategy and risk profile.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Cybersecurity Risk Management and Strategy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Cybersecurity is a key component of the Company’s overall risk management system, and the Company believes it has implemented robust processes that are designed to effectively manage risks from cybersecurity threats. In addition to maintaining insurance coverage to address cyber incidents, the Company has also implemented processes, procedures and controls to help mitigate these risks. Domino’s cybersecurity program is embedded into the Company’s enterprise risk management framework from both a resource allocation and strategic initiative perspective and is supported by an extensive catalog of layered security controls that are designed to prevent and detect internal and external security threats and safeguard privacy and personal data of customers, team members, franchisees and other business partners. Domino’s maintains this comprehensive information security program with a dedicated team that is responsible for directing, coordinating, planning and organizing information security activities throughout the Company and is led by the Company’s CISO.</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leverages a combination of the National Institute of Standards and Technology (NIST) Cybersecurity Framework and the Center for Internet Security (CIS) Critical Security Controls as the scale against which to assess its information security program and invest in its ability to proactively defend against security risks within its environment. Domino’s conducts annual risk assessments, both internally and through the use of third parties, to evaluate the effectiveness of its security controls and identify new threats and vulnerabilities and appropriate controls to mitigate risks and supplements these regular assessments with ongoing monitoring. Additionally, Domino’s participates in ongoing and periodic assessments of its external platform and applications to include running a responsible disclosure program to ensure that vulnerabilities that are discovered can be reported and appropriately remediated. Domino’s has been certified as compliant with the Payment Card Industry Data Security Standard (“PCI DSS”) standards and has several dedicated teams of specialists within its information security department that routinely conduct internal and external vulnerability and penetration assessments in accordance with both PCI DSS and industry accepted practices. This team keeps the Company’s management informed about and monitors the prevention, detection, mitigation, and remediation of cybersecurity incidents and leads the Company’s processes to oversee and identify risks from cybersecurity threats associated with the Company’s use of its third-party service providers. The Company additionally has established and maintains a dedicated Security Operations Center (SOC) team that is responsible for quickly identifying and treating events that could pose risk to its technology environments and that has a documented incident response plan in place, which is periodically tested, reviewed and updated as appropriate. The Company trains its team members through annual cybersecurity awareness training, phishing simulations and periodic communications about timely cybersecurity topics and threats and conducts certain tabletop exercises designed to ensure appropriate responsiveness in the event of an actual cybersecurity incident or threat.</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its vendors and service providers and their respective vendors and service providers face various security threats on a regular basis, including ongoing cybersecurity threats to and attacks on its and their information technology infrastructure that are intended to gain access to the Company’s proprietary information, destroy or modify data or disable, degrade or sabotage systems. Cyber incident techniques change frequently, may not immediately be recognized and can originate from a wide variety of sources, including as part of the supply-chain of software and computer code that supports the software and systems on which the Company and such parties rely. There has been an increase in the frequency, sophistication and ingenuity of the data security threats the Company and these vendors and service providers face, with attacks ranging from those common to businesses generally to those that are more advanced and persistent.</w:t>
      </w:r>
    </w:p>
    <w:p>
      <w:pPr>
        <w:pStyle w:val="TextBody"/>
        <w:bidi w:val="0"/>
        <w:jc w:val="left"/>
        <w:rPr>
          <w:rFonts w:ascii="Times New Roman" w:hAnsi="Times New Roman"/>
          <w:sz w:val="20"/>
        </w:rPr>
      </w:pPr>
      <w:r>
        <w:rPr>
          <w:rFonts w:ascii="Times New Roman" w:hAnsi="Times New Roman"/>
          <w:color w:val="000000"/>
          <w:sz w:val="20"/>
        </w:rPr>
        <w:t>While the Company does not believe that any risks from cybersecurity threats (as defined in Item 106 of Regulation S-K), including as a result of any previous cybersecurity incidents, have to-date materially affected the Company, including its business strategy, results of operations or financial condition, the occurrence of cybersecurity incidents, or a deficiency in cybersecurity, could negatively impact the Company’s business by causing a disruption to its operations, a compromise or corruption of confidential information, or damage to the Company’s employee and business relationships, any of which could have adverse effects on the Company’s results of operations, financial condition and cash flow and harm its brand. The costs related to cyber or other security threats or disruptions may not be fully insured or indemnified by others, including by the Company’s service providers. See “</w:t>
      </w:r>
      <w:r>
        <w:rPr>
          <w:rFonts w:ascii="Times New Roman" w:hAnsi="Times New Roman"/>
          <w:i/>
          <w:color w:val="000000"/>
          <w:sz w:val="20"/>
        </w:rPr>
        <w:t>Risk Factors – The occurrence of cyber incidents, or a deficiency in cybersecurity, could negatively impact our business by causing a disruption to our operations, a compromise or corruption of confidential information, or damage to our employee and business relationships, any of which could subject us to loss and harm our brand</w:t>
      </w:r>
      <w:r>
        <w:rPr>
          <w:rFonts w:ascii="Times New Roman" w:hAnsi="Times New Roman"/>
          <w:color w:val="000000"/>
          <w:sz w:val="20"/>
        </w:rPr>
        <w:t>” for further information.</w:t>
      </w:r>
    </w:p>
    <w:p>
      <w:pPr>
        <w:pStyle w:val="TextBody"/>
        <w:bidi w:val="0"/>
        <w:jc w:val="left"/>
        <w:rPr/>
      </w:pPr>
      <w:r>
        <w:rPr/>
        <w:t> </w:t>
      </w:r>
    </w:p>
    <w:p>
      <w:pPr>
        <w:pStyle w:val="TextBody"/>
        <w:bidi w:val="0"/>
        <w:jc w:val="left"/>
        <w:rPr>
          <w:rFonts w:ascii="Times New Roman" w:hAnsi="Times New Roman"/>
          <w:sz w:val="20"/>
        </w:rPr>
      </w:pPr>
      <w:bookmarkStart w:id="6" w:name="item2_properties"/>
      <w:bookmarkEnd w:id="6"/>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lease approximately 285,000 square feet for our World Resource Center, including our Domino’s Innovation Garage, located in Ann Arbor, Michigan under an operating lease with Domino’s Farms Office Park, L.L.C., an unrelated company. The lease, as amended, expires in 2029 and has two five-year renewal options.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own four supply chain center buildings. All other U.S. and Canadian supply chain centers are leased by us, under leases ranging between five and 21 years with one or two five-year renewal options. All buildings for U.S. Company-owned stores are leased by us, typically under ten-year leases with one or two five-year renewal options. All franchise stores are leased or owned directly by the respective franchisees. We believe that our existing headquarters and other leased and owned facilities are adequate to meet our current requirements, but we plan to continue investing in additional supply chain productivity initiatives in the future.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7" w:name="item3_legal_proceedings"/>
      <w:bookmarkEnd w:id="7"/>
      <w:r>
        <w:rPr>
          <w:rFonts w:ascii="Times New Roman" w:hAnsi="Times New Roman"/>
          <w:b/>
          <w:color w:val="000000"/>
          <w:sz w:val="20"/>
        </w:rPr>
        <w:t>Item 3. 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 In addition, we may occasionally be party to large claims, including class action suits.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Litigation is subject to many uncertainties, and the outcome of individual litigated matters is unpredictable. These matters referenced above could be decided unfavorably to us and could require us to pay damages or make other expenditures in amounts or a range of amounts that cannot be estimated with accuracy. However, we do not believe these matters, individually or in the aggregate, will have a material adverse effect on the business or financial condition of the Company, and we expect that the established accruals adequately provide for the estimated resolution of such claims. </w:t>
      </w:r>
    </w:p>
    <w:p>
      <w:pPr>
        <w:pStyle w:val="TextBody"/>
        <w:bidi w:val="0"/>
        <w:jc w:val="left"/>
        <w:rPr/>
      </w:pPr>
      <w:r>
        <w:rPr/>
        <w:t> </w:t>
      </w:r>
    </w:p>
    <w:p>
      <w:pPr>
        <w:pStyle w:val="TextBody"/>
        <w:bidi w:val="0"/>
        <w:jc w:val="left"/>
        <w:rPr>
          <w:rFonts w:ascii="Times New Roman" w:hAnsi="Times New Roman"/>
          <w:b/>
          <w:color w:val="000000"/>
          <w:sz w:val="20"/>
        </w:rPr>
      </w:pPr>
      <w:bookmarkStart w:id="8" w:name="item4_mine_safety_disclosures"/>
      <w:bookmarkEnd w:id="8"/>
      <w:r>
        <w:rPr>
          <w:rFonts w:ascii="Times New Roman" w:hAnsi="Times New Roman"/>
          <w:b/>
          <w:color w:val="000000"/>
          <w:sz w:val="20"/>
        </w:rPr>
        <w:t>Item 4. Mine Safety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bookmarkStart w:id="9" w:name="item4a_executiveofficers_registrant"/>
      <w:bookmarkEnd w:id="9"/>
      <w:r>
        <w:rPr>
          <w:rFonts w:ascii="Times New Roman" w:hAnsi="Times New Roman"/>
          <w:b/>
          <w:color w:val="000000"/>
          <w:sz w:val="20"/>
        </w:rPr>
        <w:t>Item 4A. Executive Officers of the Registrant.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listing of executive officers of the Company is set forth under Part III, Item 10. Directors, Executive Officers and Corporate Governance, which is incorporated herein by reference.</w:t>
      </w:r>
    </w:p>
    <w:p>
      <w:pPr>
        <w:pStyle w:val="TextBody"/>
        <w:bidi w:val="0"/>
        <w:spacing w:before="20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jc w:val="left"/>
        <w:rPr/>
      </w:pPr>
      <w:r>
        <w:rPr/>
        <w:t> </w:t>
      </w:r>
    </w:p>
    <w:p>
      <w:pPr>
        <w:pStyle w:val="TextBody"/>
        <w:bidi w:val="0"/>
        <w:jc w:val="left"/>
        <w:rPr>
          <w:rFonts w:ascii="Times New Roman" w:hAnsi="Times New Roman"/>
          <w:sz w:val="20"/>
        </w:rPr>
      </w:pPr>
      <w:bookmarkStart w:id="10" w:name="item5_market_registrants_common_equity"/>
      <w:bookmarkEnd w:id="10"/>
      <w:r>
        <w:rPr>
          <w:rFonts w:ascii="Times New Roman" w:hAnsi="Times New Roman"/>
          <w:b/>
          <w:color w:val="000000"/>
          <w:sz w:val="20"/>
        </w:rPr>
        <w:t>Item 5. Market for Registrant’s Common</w:t>
      </w:r>
      <w:r>
        <w:rPr>
          <w:rFonts w:ascii="Times New Roman" w:hAnsi="Times New Roman"/>
          <w:color w:val="000000"/>
          <w:sz w:val="20"/>
        </w:rPr>
        <w:t xml:space="preserve"> </w:t>
      </w:r>
      <w:r>
        <w:rPr>
          <w:rFonts w:ascii="Times New Roman" w:hAnsi="Times New Roman"/>
          <w:b/>
          <w:color w:val="000000"/>
          <w:sz w:val="20"/>
        </w:rPr>
        <w:t>Equity, Related Stockholder Matters and Issuer Purchases of Equity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February 16, 2026, Domino’s Pizza, Inc. had 170,000,000 authorized shares of common stock, par value $0.01 per share, of which 33,628,897 were issued and outstanding. As of February 16, 2026, there were 1,440 registered holders of record of Domino’s Pizza, Inc.’s common stock. Domino’s Pizza, Inc.’s common stock is traded on The Nasdaq Stock Market LLC (“Nasdaq”) under the ticker symbol “DPZ.”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Board of Directors declared a quarterly dividend of $1.99 per common share on February 18, 2026 payable on March 30, 2026 to shareholders of record at the close of business on March 13,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currently anticipate continuing the payment of quarterly cash dividends. The actual amount of such dividends, if any, will depend upon future earnings, results of operations, capital requirements, our financial condition and certain other factors. There can be no assurance as to the amount of free cash flow that we will generate in future years and, accordingly, dividends will be considered after reviewing returns to shareholders, profitability expectations and financing needs and will be declared at the discretion of our Board of Directors.</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28, 2025, we had $459.7 million remaining under the $1.0 billion share repurchase authorization approved by our Board of Directors on February 21, 2024, for repurchases of shares of our common stock. Any future purchases of our common stock would be funded by current cash amounts, available borrowings or future excess cash flow. The following table summarizes our repurchase activity during the fourth quarter ended December 28, 2025:</w:t>
      </w:r>
    </w:p>
    <w:p>
      <w:pPr>
        <w:pStyle w:val="TextBody"/>
        <w:bidi w:val="0"/>
        <w:jc w:val="left"/>
        <w:rPr/>
      </w:pPr>
      <w:r>
        <w:rPr/>
        <w:t> </w:t>
      </w:r>
    </w:p>
    <w:tbl>
      <w:tblPr>
        <w:tblW w:w="9477" w:type="dxa"/>
        <w:jc w:val="left"/>
        <w:tblInd w:w="0" w:type="dxa"/>
        <w:tblLayout w:type="fixed"/>
        <w:tblCellMar>
          <w:top w:w="28" w:type="dxa"/>
          <w:left w:w="28" w:type="dxa"/>
          <w:bottom w:w="28" w:type="dxa"/>
          <w:right w:w="28" w:type="dxa"/>
        </w:tblCellMar>
      </w:tblPr>
      <w:tblGrid>
        <w:gridCol w:w="4531"/>
        <w:gridCol w:w="146"/>
        <w:gridCol w:w="146"/>
        <w:gridCol w:w="781"/>
        <w:gridCol w:w="146"/>
        <w:gridCol w:w="146"/>
        <w:gridCol w:w="211"/>
        <w:gridCol w:w="676"/>
        <w:gridCol w:w="146"/>
        <w:gridCol w:w="146"/>
        <w:gridCol w:w="146"/>
        <w:gridCol w:w="781"/>
        <w:gridCol w:w="146"/>
        <w:gridCol w:w="146"/>
        <w:gridCol w:w="211"/>
        <w:gridCol w:w="781"/>
        <w:gridCol w:w="19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br/>
              <w:br/>
              <w:br/>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Number</w:t>
              <w:br/>
              <w:t>of Shares</w:t>
              <w:br/>
              <w:t>Purchased</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w:t>
              <w:br/>
              <w:t>Price Paid</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Number of</w:t>
              <w:br/>
              <w:t>Shares</w:t>
              <w:br/>
              <w:t>Purchased as</w:t>
              <w:br/>
              <w:t>Part of</w:t>
              <w:br/>
              <w:t>Publicly</w:t>
              <w:br/>
              <w:t>Announced</w:t>
              <w:br/>
              <w:t>Program</w:t>
              <w:b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Maximum</w:t>
              <w:br/>
              <w:t>Approximate</w:t>
              <w:br/>
              <w:t>Dollar Value</w:t>
              <w:br/>
              <w:t>of Shares</w:t>
              <w:br/>
              <w:t>that May Yet</w:t>
              <w:br/>
              <w:t>Be Purchased</w:t>
              <w:br/>
              <w:t>Under the</w:t>
              <w:br/>
              <w:t>Program</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Period #10 (September 8, 2025 to October 5,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Period #11 (October 6, 2025 to November 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Period #12 (November 3, 2025 to November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Period #13 (December 1, 2025 to December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459,681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3,980 shares were purchased as part of the Company’s employee stock purchase discount plan. During the fourth quarter, the shares were purchased at an average price of $412.71.</w:t>
      </w:r>
    </w:p>
    <w:p>
      <w:pPr>
        <w:pStyle w:val="TextBody"/>
        <w:bidi w:val="0"/>
        <w:jc w:val="left"/>
        <w:rPr/>
      </w:pPr>
      <w:r>
        <w:rPr/>
        <w:t> </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comparative stock performance line graph compares the cumulative shareholder return of the common stock of Domino’s Pizza, Inc. (Nasdaq: DPZ) for the five-year period between January 3, 2021, and December 28, 2025, with the cumulative total return of (i) the Standard &amp; Poor’s 500 Index (the “S&amp;P 500”) and (ii) the Company’s peer group, the Standard &amp; Poor’s Composite 1500 Restaurant Index (the “S&amp;P 1500 Restaurant Index”). The cumulative total return computations set forth in the performance graph assume the investment of $100 in each of the Company’s common stock, the S&amp;P 500 and the S&amp;P 1500 Restaurant Index on January 3, 2021.</w:t>
      </w:r>
    </w:p>
    <w:p>
      <w:pPr>
        <w:pStyle w:val="TextBody"/>
        <w:bidi w:val="0"/>
        <w:jc w:val="left"/>
        <w:rPr/>
      </w:pPr>
      <w:r>
        <w:rPr/>
        <w:t> </w:t>
      </w:r>
    </w:p>
    <w:p>
      <w:pPr>
        <w:pStyle w:val="TextBody"/>
        <w:bidi w:val="0"/>
        <w:jc w:val="left"/>
        <w:rPr/>
      </w:pPr>
      <w:r>
        <w:rPr/>
        <w:drawing>
          <wp:inline distT="0" distB="0" distL="0" distR="0">
            <wp:extent cx="5943600" cy="3638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363855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b/>
          <w:color w:val="000000"/>
          <w:sz w:val="20"/>
        </w:rPr>
      </w:pPr>
      <w:bookmarkStart w:id="11" w:name="part_ii_item_6"/>
      <w:bookmarkEnd w:id="11"/>
      <w:r>
        <w:rPr>
          <w:rFonts w:ascii="Times New Roman" w:hAnsi="Times New Roman"/>
          <w:b/>
          <w:color w:val="000000"/>
          <w:sz w:val="20"/>
        </w:rPr>
        <w:t>Item 6. [Reserved].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2" w:name="item7_mda"/>
      <w:bookmarkEnd w:id="12"/>
      <w:r>
        <w:rPr>
          <w:rFonts w:ascii="Times New Roman" w:hAnsi="Times New Roman"/>
          <w:b/>
          <w:color w:val="000000"/>
          <w:sz w:val="20"/>
        </w:rPr>
        <w:t>Item 7. Management</w:t>
      </w:r>
      <w:r>
        <w:rPr>
          <w:rFonts w:ascii="Times New Roman" w:hAnsi="Times New Roman"/>
          <w:color w:val="000000"/>
          <w:sz w:val="20"/>
        </w:rPr>
        <w:t>’</w:t>
      </w:r>
      <w:r>
        <w:rPr>
          <w:rFonts w:ascii="Times New Roman" w:hAnsi="Times New Roman"/>
          <w:b/>
          <w:color w:val="000000"/>
          <w:sz w:val="20"/>
        </w:rPr>
        <w:t>s Discussion and Analysis of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(Unaudited; tabular amounts in millions, except percentages and store data)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Our fiscal year typically includes 52 weeks, comprised of three twelve-week quarters and one sixteen-week quarter.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this section, we discuss the results of our operations for the fiscal year ended December 28, 2025 compared to the fiscal year ended December 29, 2024. For a discussion of the fiscal year ended December 29, 2024 compared to the fiscal year ended December 31, 2023, please refer to Part II, Item 7, “Management’s Discussion and Analysis of Financial Condition and Results of Operations” in our Annual Report on Form 10-K for the fiscal year ended December 29, 2024.</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Description of the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Domino’s is the largest pizza company in the world with more than 22,100 locations in over 90 markets around the world as of December 28, 2025, and operates two distinct service models within its stores, with a significant business in both delivery and carryout. We are a highly recognized global brand, and we focus on value while serving neighborhoods locally through our large worldwide network of franchise owners and U.S. Company-owned stores through both the delivery and carryout service models. We have been selling quality, affordable food to our customers since 1960. We became “Domino’s Pizza” in 1965 and opened our first franchised store in 1967. Over the past 65 years, we have built Domino’s into one of the most widely-recognized consumer brands in the world. We believe our commitment to value, convenience, quality and new products continues to keep consumers engaged with the brand.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primarily a franchisor, with approximately 99% of Domino’s global stores owned and operated by our independent franchisees as of December 28, 2025. Franchising enables an individual to be a business owner and maintain control over all employment-related matters and pricing decisions, while also benefiting from the strength of the Domino’s global brand and operating system with limited capital investment by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Domino’s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Domino’s generates revenues and earnings by charging royalties and fees to our franchisees. Royalties are ongoing percent-of-sales fees for use of the Domino’s</w:t>
      </w:r>
      <w:r>
        <w:rPr>
          <w:rFonts w:ascii="Times New Roman" w:hAnsi="Times New Roman"/>
          <w:color w:val="000000"/>
          <w:sz w:val="13"/>
        </w:rPr>
        <w:t>®</w:t>
      </w:r>
      <w:r>
        <w:rPr>
          <w:rFonts w:ascii="Times New Roman" w:hAnsi="Times New Roman"/>
          <w:color w:val="000000"/>
          <w:sz w:val="20"/>
        </w:rPr>
        <w:t xml:space="preserve"> brand marks. We also generate revenues and earnings by selling food and other products to franchisees through our supply chain operations primarily in the U.S. and Canada and by operating a number of Company-owned stores in the U.S. Franchisees profit by selling pizza and other complementary items to their local customers. In our international markets, we generally grant geographical rights to the Domino’s Pizza</w:t>
      </w:r>
      <w:r>
        <w:rPr>
          <w:rFonts w:ascii="Times New Roman" w:hAnsi="Times New Roman"/>
          <w:color w:val="000000"/>
          <w:sz w:val="13"/>
        </w:rPr>
        <w:t>®</w:t>
      </w:r>
      <w:r>
        <w:rPr>
          <w:rFonts w:ascii="Times New Roman" w:hAnsi="Times New Roman"/>
          <w:color w:val="000000"/>
          <w:sz w:val="20"/>
        </w:rPr>
        <w:t xml:space="preserve"> brand to master franchisees. These master franchisees are charged with developing their geographical area, and they may profit by sub-franchising and selling food, and to a lesser extent, other products to those sub-franchisees, as well as by running pizza stores. We believe that everyone in the system can benefit from the franchise model, including the end consumer, who can purchase Domino’s menu items for themselves and their family conveniently and economically.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Domino’s business model can yield strong returns for our franchise owners and our Company-owned stores. It can also yield significant cash flows to us, through consistent franchise royalty and supply chain revenue streams, all within an asset-light model. We have historically returned cash to shareholders through dividend payments and share repurchases. Domino’s financial results are driven largely by retail sales at our franchised and Company-owned stores. Changes in retail sales are primarily driven by same store sales growth and net store growth. We actively monitor both of these metrics, as they directly impact our revenues and profits, and we strive to consistently increase both metrics. Retail sales drive royalty payments from franchisees, as well as Company-owned store and supply chain revenues.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Domino’s, we believe we have a proven business model for success that has historically driven strong returns for our shareholders. Our Hungry for MORE strategy aims to generate MORE sales, MORE stores and MORE profits. The strategic imperatives of our Hungry for MORE strategy are as follows:</w:t>
      </w:r>
    </w:p>
    <w:p>
      <w:pPr>
        <w:pStyle w:val="TextBody"/>
        <w:bidi w:val="0"/>
        <w:jc w:val="left"/>
        <w:rPr>
          <w:rFonts w:ascii="Times New Roman" w:hAnsi="Times New Roman"/>
          <w:sz w:val="20"/>
        </w:rPr>
      </w:pPr>
      <w:r>
        <w:rPr>
          <w:rFonts w:ascii="Times New Roman" w:hAnsi="Times New Roman"/>
          <w:i/>
          <w:color w:val="000000"/>
          <w:sz w:val="20"/>
        </w:rPr>
        <w:t xml:space="preserve">Most Delicious Food: </w:t>
      </w:r>
      <w:r>
        <w:rPr>
          <w:rFonts w:ascii="Times New Roman" w:hAnsi="Times New Roman"/>
          <w:color w:val="000000"/>
          <w:sz w:val="20"/>
        </w:rPr>
        <w:t>We believe we have the best pizza in the industry, and our menu has even more mouthwatering options beyond pizza. We will continue to showcase the breadth of our menu, while highlighting the deliciousness of our food through our innovative marketing promotions.</w:t>
      </w:r>
    </w:p>
    <w:p>
      <w:pPr>
        <w:pStyle w:val="TextBody"/>
        <w:bidi w:val="0"/>
        <w:jc w:val="left"/>
        <w:rPr>
          <w:rFonts w:ascii="Times New Roman" w:hAnsi="Times New Roman"/>
          <w:sz w:val="20"/>
        </w:rPr>
      </w:pPr>
      <w:r>
        <w:rPr>
          <w:rFonts w:ascii="Times New Roman" w:hAnsi="Times New Roman"/>
          <w:i/>
          <w:color w:val="000000"/>
          <w:sz w:val="20"/>
        </w:rPr>
        <w:t xml:space="preserve">Operational Excellence: </w:t>
      </w:r>
      <w:r>
        <w:rPr>
          <w:rFonts w:ascii="Times New Roman" w:hAnsi="Times New Roman"/>
          <w:color w:val="000000"/>
          <w:sz w:val="20"/>
        </w:rPr>
        <w:t>We are relentless in our focus on convenience, consistency and efficiency for our customers.</w:t>
      </w:r>
    </w:p>
    <w:p>
      <w:pPr>
        <w:pStyle w:val="TextBody"/>
        <w:bidi w:val="0"/>
        <w:jc w:val="left"/>
        <w:rPr>
          <w:rFonts w:ascii="Times New Roman" w:hAnsi="Times New Roman"/>
          <w:sz w:val="20"/>
        </w:rPr>
      </w:pPr>
      <w:r>
        <w:rPr>
          <w:rFonts w:ascii="Times New Roman" w:hAnsi="Times New Roman"/>
          <w:i/>
          <w:color w:val="000000"/>
          <w:sz w:val="20"/>
        </w:rPr>
        <w:t>Renowned Value:</w:t>
      </w:r>
      <w:r>
        <w:rPr>
          <w:rFonts w:ascii="Times New Roman" w:hAnsi="Times New Roman"/>
          <w:color w:val="000000"/>
          <w:sz w:val="20"/>
        </w:rPr>
        <w:t xml:space="preserve"> We are committed to continuing to offer competitive pricing and personalized value for our customers that is innovative and memorable.</w:t>
      </w:r>
    </w:p>
    <w:p>
      <w:pPr>
        <w:pStyle w:val="TextBody"/>
        <w:bidi w:val="0"/>
        <w:jc w:val="left"/>
        <w:rPr>
          <w:rFonts w:ascii="Times New Roman" w:hAnsi="Times New Roman"/>
          <w:sz w:val="20"/>
        </w:rPr>
      </w:pPr>
      <w:r>
        <w:rPr>
          <w:rFonts w:ascii="Times New Roman" w:hAnsi="Times New Roman"/>
          <w:i/>
          <w:color w:val="000000"/>
          <w:sz w:val="20"/>
        </w:rPr>
        <w:t>Enhanced by Best-in-Class Franchisees:</w:t>
      </w:r>
      <w:r>
        <w:rPr>
          <w:rFonts w:ascii="Times New Roman" w:hAnsi="Times New Roman"/>
          <w:color w:val="000000"/>
          <w:sz w:val="20"/>
        </w:rPr>
        <w:t xml:space="preserve"> Our franchisees play a vital role in driving results and excitement across the more than 90 markets in which we operate.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Critical accounting estimates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discussion and analysis of financial condition and results of operations is based on our consolidated financial statements, which have been prepared in accordance with accounting principles generally accepted in the United States. The preparation of these financial statements requires our management to make estimates and judgments that affect the reported amounts of assets, liabilities, revenues and expenses and related disclosures of contingent assets and liabilities. On an ongoing basis, our management evaluates its estimates, including those related to long-lived assets, casualty insurance reserves and income taxes.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those estimates, and changes in estimates could materially affect our results of operations and financial condition for any particular period.</w:t>
      </w:r>
    </w:p>
    <w:p>
      <w:pPr>
        <w:pStyle w:val="TextBody"/>
        <w:bidi w:val="0"/>
        <w:jc w:val="left"/>
        <w:rPr>
          <w:rFonts w:ascii="Times New Roman" w:hAnsi="Times New Roman"/>
          <w:color w:val="000000"/>
          <w:sz w:val="20"/>
        </w:rPr>
      </w:pPr>
      <w:r>
        <w:rPr>
          <w:rFonts w:ascii="Times New Roman" w:hAnsi="Times New Roman"/>
          <w:color w:val="000000"/>
          <w:sz w:val="20"/>
        </w:rPr>
        <w:t>We believe that our most critical accounting estimates are: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Long-lived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record long-lived assets, including property, plant and equipment and capitalized software, at cost. For acquisitions of franchise operations, we estimate the fair values of the assets and liabilities acquired based on physical inspection of assets, historical experience and other information available to us regarding the acquisition. We depreciate and amortize long-lived assets using useful lives determined by us based on historical experience and other information available to us. We evaluate long-lived assets, including property, plant, equipment and finite-lived intangible assets, for impairment whenever events or changes in circumstances indicate that the carrying amount of the assets may not be recoverable. Our periodic evaluation is based on various analyses including the projection of undiscounted cash flows. If we determine that the carrying amount of an asset (or asset group) may not be recoverable, we compare the net carrying value of the asset group to the undiscounted net cash flows to be generated from the use and eventual disposition of that asset group.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Company-owned stores, we perform related impairment tests on an operating market basis, which we have determined to be the lowest level for which identifiable cash flows are largely independent of other cash flows. If the carrying amount of a long-lived asset exceeds the amount of the expected future undiscounted cash flows of that asset, we estimate the fair value of the asset. If the carrying amount of the asset exceeds the estimated fair value of the asset, an impairment loss is recognized, and the asset is written down to its estimated fair value. We have not made any significant changes in the methodology used to project the future market cash flows of Company-owned stores during the years presented. Same store sales fluctuations and the rates at which operating costs will fluctuate in the future are key factors in determining projected cash flows used to evaluate recoverability of the related assets. If our same store sales significantly decline or if operating costs increase and we are unable to recover these costs, the carrying value of our Company-owned stores, by market, may not be recoverable and we may be required to recognize an impairment charge.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did not record any impairment losses on long-lived assets in 2025, 2024 and 2023.</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Casualty insurance reserves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certain periods prior to December 1998 and for periods after December 2001, we maintain insurance coverage for workers’ compensation, general liability and owned and non-owned automobile liabilities. We are generally responsible for up to $1.0 million per occurrence under these retention programs for workers’ compensation and up to $2.0 million per occurrence under these retention programs for general liability, depending on policy year and line of coverage. We are generally responsible for up to between $2.0 million and $5.5 million per occurrence under these retention programs for owned and non-owned automobile liabilities, depending on policy year and line of coverage. Casualty insurance reserves are based on undiscounted actuarial estimates. These estimates are based on historical information and on certain assumptions about future events. There is inherent uncertainty in the ultimate cost for known claims under our insurance coverages, and for incidents that have occurred that will be subject to a claim, but have yet to be reported to us. Analyses of historical trends and actuarial valuation methods are utilized to estimate the ultimate claim costs for claims incurred as of the balance sheet date and for claims incurred but not yet reported. When estimating these liabilities, several factors are considered, including the severity, duration and frequency of claims, legal cost associated with claims, healthcare trends and projected inflation.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methodology for determining our exposure has remained consistent throughout the years presented. Management believes that the various assumptions developed, and actuarial methods used to determine our casualty insurance reserves are reasonable and provide meaningful data that management uses to make its best estimate of our exposure to these risks. Changes in assumptions for such factors as medical costs and legal actions, as well as changes in actual experience, could cause our estimates to change in the near term which could result in an increase or decrease in the related expense in future periods. A 10% change in our casualty insurance liability at December 28, 2025 would have affected our income before provision for income taxes by approximately $5.1 million in 2025. We had accruals for casualty insurance reserves of $51.2 million and $50.7 million at December 28, 2025 and December 29, 2024, respectively. </w:t>
      </w:r>
    </w:p>
    <w:p>
      <w:pPr>
        <w:pStyle w:val="TextBody"/>
        <w:bidi w:val="0"/>
        <w:spacing w:before="3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Income taxes</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U.S. Federal statutory income tax rate was 21% in each of 2025, 2024 and 2023. Our Federal income tax provision calculated based on the Federal statutory rate was $161.8 million, $151.7 million and $137.0 million in 2025, 2024 and 2023, respectively.</w:t>
      </w:r>
    </w:p>
    <w:p>
      <w:pPr>
        <w:pStyle w:val="TextBody"/>
        <w:bidi w:val="0"/>
        <w:jc w:val="left"/>
        <w:rPr>
          <w:rFonts w:ascii="Times New Roman" w:hAnsi="Times New Roman"/>
          <w:color w:val="000000"/>
          <w:sz w:val="20"/>
        </w:rPr>
      </w:pPr>
      <w:r>
        <w:rPr>
          <w:rFonts w:ascii="Times New Roman" w:hAnsi="Times New Roman"/>
          <w:color w:val="000000"/>
          <w:sz w:val="20"/>
        </w:rPr>
        <w:t xml:space="preserve">We recognize deferred tax assets and liabilities based on the differences between the financial statement carrying amounts and the tax basis of assets and liabilities. We measure deferred taxes using current enacted tax rates that will apply in the years in which we expect the temporary differences to be recovered or paid. Judgment is required in determining the provision for income taxes, related reserves and deferred taxes. These include establishing a valuation allowance related to the ability to realize certain deferred tax assets, if necessary. On an ongoing basis, management will assess whether it remains more likely than not that the deferred tax assets will be realized. Our accounting for deferred taxes represents our best estimate of future events. Except with respect to certain foreign tax credits and interest deductibility in separately filed states, our deferred tax assets assume that we will generate sufficient taxable income in specific tax jurisdictions, based on our estimates and assumptions. As of December 28, 2025 and December 29, 2024, we had total foreign tax credits of $25.1 million and $21.0 million, respectively, each of which were fully offset with a corresponding valuation allowance. We also had valuation allowances related to interest deductibility in separately filed states of $1.2 million and $1.4 million as of December 28, 2025 and December 29, 2024, respectively. We believe our remaining deferred tax assets will be realized. Changes in our current estimates due to unanticipated events could have a material impact on our financial condition and results of operations.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Fiscal 2025 Highlights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Hungry for MORE strategy aims to generate MORE sales, MORE stores and MORE profits.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MORE Sales: Global retail sales, excluding foreign currency impact (which includes total retail sales at Company-owned and franchised stores worldwide), increased 5.4% as compared to 2024. U.S. retail sales increased 4.8% and international retail sales, excluding foreign currency impact, increased 5.9% as compared to 2024. Same store sales increased 3.0% in our U.S. stores and increased 1.9% in our international stores (excluding foreign currency impact).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MORE Stores: Global net store growth of 776 stores, including 172 net store openings in the U.S. and 604 net store openings internationally.</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MORE Profits: Income from operations increased 8.5%.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Excluding the negative impact of foreign currency, Domino’s experienced global retail sales growth during 2025, driven by same store sales growth and net store growth in both our U.S. and international businesses. These factors, as well as gross margin dollar improvement within supply chain, also contributed to an increase in income from operations. Overall, we believe our global retail sales growth, excluding foreign currency impact, marketing initiatives, operations and emphasis on technology have combined to strengthen our brand. These financial and statistical measures are described in additional detail below.</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Statistical Measures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tables below outline certain statistical measures we utilize to analyze our performance. This historical data is not necessarily indicative of results to be expected for any future period.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Global Retail Sales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Global retail sales is a commonly used statistical measure in the quick-service restaurant industry that is important to understanding performance. Global retail sales refers to total worldwide retail sales at Company-owned and franchised stores. We believe global retail sales information is useful in analyzing revenues because franchisees pay royalties and, in the U.S., advertising fees that are based on a percentage of franchise retail sales. We review comparable industry global retail sales information to assess business trends and to track the growth of the Domino’s Pizza brand, and we believe they are indicative of the financial health of our franchisee base. In addition, supply chain revenues are directly impacted by changes in franchise retail sales in the U.S. and Canada. As a result, sales by Domino’s franchisees have a direct effect on our profitability. Retail sales for franchised stores are reported to us by our franchisees and are not included in our revenues. The amounts below are presented in millions of U.S. dollars.</w:t>
      </w:r>
    </w:p>
    <w:p>
      <w:pPr>
        <w:pStyle w:val="TextBody"/>
        <w:bidi w:val="0"/>
        <w:jc w:val="left"/>
        <w:rPr/>
      </w:pPr>
      <w:r>
        <w:rPr/>
        <w:t> </w:t>
      </w:r>
    </w:p>
    <w:tbl>
      <w:tblPr>
        <w:tblW w:w="5713" w:type="dxa"/>
        <w:jc w:val="left"/>
        <w:tblInd w:w="0" w:type="dxa"/>
        <w:tblLayout w:type="fixed"/>
        <w:tblCellMar>
          <w:top w:w="28" w:type="dxa"/>
          <w:left w:w="28" w:type="dxa"/>
          <w:bottom w:w="28" w:type="dxa"/>
          <w:right w:w="28" w:type="dxa"/>
        </w:tblCellMar>
      </w:tblPr>
      <w:tblGrid>
        <w:gridCol w:w="1681"/>
        <w:gridCol w:w="146"/>
        <w:gridCol w:w="211"/>
        <w:gridCol w:w="826"/>
        <w:gridCol w:w="146"/>
        <w:gridCol w:w="146"/>
        <w:gridCol w:w="211"/>
        <w:gridCol w:w="826"/>
        <w:gridCol w:w="146"/>
        <w:gridCol w:w="146"/>
        <w:gridCol w:w="211"/>
        <w:gridCol w:w="82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Global Retail Sales Growth, Excluding Foreign Currency Impact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Global retail sales growth, excluding foreign currency impact is a commonly used statistical measure in the quick-service restaurant industry that is important to understanding performance. Global retail sales growth, excluding foreign currency impact, is calculated as the change of international local currency global retail sales against the comparable period of the prior year. Changes in global retail sales growth, excluding foreign currency impact are primarily driven by same store sales growth and net store growth.</w:t>
      </w:r>
    </w:p>
    <w:p>
      <w:pPr>
        <w:pStyle w:val="TextBody"/>
        <w:bidi w:val="0"/>
        <w:jc w:val="left"/>
        <w:rPr/>
      </w:pPr>
      <w:r>
        <w:rPr/>
        <w:t> </w:t>
      </w:r>
    </w:p>
    <w:tbl>
      <w:tblPr>
        <w:tblW w:w="8038" w:type="dxa"/>
        <w:jc w:val="left"/>
        <w:tblInd w:w="0" w:type="dxa"/>
        <w:tblLayout w:type="fixed"/>
        <w:tblCellMar>
          <w:top w:w="28" w:type="dxa"/>
          <w:left w:w="28" w:type="dxa"/>
          <w:bottom w:w="28" w:type="dxa"/>
          <w:right w:w="28" w:type="dxa"/>
        </w:tblCellMar>
      </w:tblPr>
      <w:tblGrid>
        <w:gridCol w:w="4651"/>
        <w:gridCol w:w="146"/>
        <w:gridCol w:w="146"/>
        <w:gridCol w:w="676"/>
        <w:gridCol w:w="146"/>
        <w:gridCol w:w="146"/>
        <w:gridCol w:w="146"/>
        <w:gridCol w:w="676"/>
        <w:gridCol w:w="146"/>
        <w:gridCol w:w="146"/>
        <w:gridCol w:w="146"/>
        <w:gridCol w:w="676"/>
        <w:gridCol w:w="1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stores (excluding foreign currency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+ 7.7%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(excluding foreign currency impact)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Same Store Sales Growth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Same store sales growth is a commonly used statistical measure in the quick-service restaurant industry that is important to understanding performance. Same store sales growth is calculated for a given period by including only sales from stores that also had sales in the comparable weeks of both periods. International same store sales growth is calculated similarly to U.S. same store sales growth. Changes in international same store sales are reported on a constant dollar basis, which reflects changes in international local currency sales. Same store sales growth for transferred stores is reflected in their current classification.</w:t>
      </w:r>
    </w:p>
    <w:p>
      <w:pPr>
        <w:pStyle w:val="TextBody"/>
        <w:bidi w:val="0"/>
        <w:jc w:val="left"/>
        <w:rPr/>
      </w:pPr>
      <w:r>
        <w:rPr/>
        <w:t> </w:t>
      </w:r>
    </w:p>
    <w:tbl>
      <w:tblPr>
        <w:tblW w:w="7162" w:type="dxa"/>
        <w:jc w:val="left"/>
        <w:tblInd w:w="0" w:type="dxa"/>
        <w:tblLayout w:type="fixed"/>
        <w:tblCellMar>
          <w:top w:w="28" w:type="dxa"/>
          <w:left w:w="28" w:type="dxa"/>
          <w:bottom w:w="28" w:type="dxa"/>
          <w:right w:w="28" w:type="dxa"/>
        </w:tblCellMar>
      </w:tblPr>
      <w:tblGrid>
        <w:gridCol w:w="4651"/>
        <w:gridCol w:w="146"/>
        <w:gridCol w:w="676"/>
        <w:gridCol w:w="146"/>
        <w:gridCol w:w="676"/>
        <w:gridCol w:w="146"/>
        <w:gridCol w:w="72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+ 5.4%</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franchise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+ 1.4%</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+ 1.6%</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stores (excluding foreign currency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+ 1.7%</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U.S. same store sales increased 3.0% during 2025, rolling over an increase in U.S. same store sales of 3.2% in 2024. The increase in U.S. same store sales was primarily driven by both higher customer transaction counts and higher average ticket, each driven in part by the launch of our Parmesan Stuffed Crust pizza. Multiple windows of our “Best Deal Ever” promotion also drove higher customer transaction counts during 2025. International same store sales (excluding foreign currency impact) increased 1.9% during 2025, rolling over an increase in international same store sales (excluding foreign currency impact) of 1.6% in 2024. The increase in international same store sales was attributable to higher customer transaction counts.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Net Store Growth</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store growth is a commonly used statistical measure in the quick-service restaurant industry that is important to understanding performance. Net store growth is calculated by netting gross store openings with gross store closures during the period. Transfers between Company-owned stores and franchised stores are excluded from the calculation of net store growth.</w:t>
      </w:r>
    </w:p>
    <w:p>
      <w:pPr>
        <w:pStyle w:val="TextBody"/>
        <w:bidi w:val="0"/>
        <w:jc w:val="left"/>
        <w:rPr/>
      </w:pPr>
      <w:r>
        <w:rPr/>
        <w:t> </w:t>
      </w:r>
    </w:p>
    <w:tbl>
      <w:tblPr>
        <w:tblW w:w="9342" w:type="dxa"/>
        <w:jc w:val="left"/>
        <w:tblInd w:w="0" w:type="dxa"/>
        <w:tblLayout w:type="fixed"/>
        <w:tblCellMar>
          <w:top w:w="28" w:type="dxa"/>
          <w:left w:w="28" w:type="dxa"/>
          <w:bottom w:w="28" w:type="dxa"/>
          <w:right w:w="28" w:type="dxa"/>
        </w:tblCellMar>
      </w:tblPr>
      <w:tblGrid>
        <w:gridCol w:w="2956"/>
        <w:gridCol w:w="146"/>
        <w:gridCol w:w="224"/>
        <w:gridCol w:w="647"/>
        <w:gridCol w:w="166"/>
        <w:gridCol w:w="146"/>
        <w:gridCol w:w="165"/>
        <w:gridCol w:w="646"/>
        <w:gridCol w:w="166"/>
        <w:gridCol w:w="146"/>
        <w:gridCol w:w="146"/>
        <w:gridCol w:w="571"/>
        <w:gridCol w:w="166"/>
        <w:gridCol w:w="146"/>
        <w:gridCol w:w="276"/>
        <w:gridCol w:w="1284"/>
        <w:gridCol w:w="166"/>
        <w:gridCol w:w="146"/>
        <w:gridCol w:w="146"/>
        <w:gridCol w:w="676"/>
        <w:gridCol w:w="2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br/>
              <w:t>Company-</w:t>
              <w:br/>
              <w:t>owned</w:t>
              <w:br/>
              <w:t> Stores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br/>
              <w:t>Franchise</w:t>
              <w:br/>
              <w:t>Stores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U.S.</w:t>
              <w:br/>
              <w:t>Stores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 Stores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Store count at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Store count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Store count at December 29,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Store count at December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Fiscal 2025 net store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4"/>
        </w:rPr>
      </w:pPr>
      <w:r>
        <w:rPr>
          <w:rFonts w:ascii="Times New Roman" w:hAnsi="Times New Roman"/>
          <w:b/>
          <w:color w:val="000000"/>
          <w:sz w:val="24"/>
        </w:rPr>
        <w:t>Income Statement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03"/>
        <w:gridCol w:w="146"/>
        <w:gridCol w:w="211"/>
        <w:gridCol w:w="721"/>
        <w:gridCol w:w="166"/>
        <w:gridCol w:w="146"/>
        <w:gridCol w:w="146"/>
        <w:gridCol w:w="571"/>
        <w:gridCol w:w="311"/>
        <w:gridCol w:w="146"/>
        <w:gridCol w:w="211"/>
        <w:gridCol w:w="721"/>
        <w:gridCol w:w="166"/>
        <w:gridCol w:w="146"/>
        <w:gridCol w:w="146"/>
        <w:gridCol w:w="571"/>
        <w:gridCol w:w="311"/>
        <w:gridCol w:w="146"/>
        <w:gridCol w:w="211"/>
        <w:gridCol w:w="721"/>
        <w:gridCol w:w="166"/>
        <w:gridCol w:w="146"/>
        <w:gridCol w:w="146"/>
        <w:gridCol w:w="571"/>
        <w:gridCol w:w="359"/>
      </w:tblGrid>
      <w:tr>
        <w:trPr/>
        <w:tc>
          <w:tcPr>
            <w:tcW w:w="2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0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0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International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0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Refranchising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2025 compared to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367" w:type="dxa"/>
        <w:jc w:val="left"/>
        <w:tblInd w:w="0" w:type="dxa"/>
        <w:tblLayout w:type="fixed"/>
        <w:tblCellMar>
          <w:top w:w="28" w:type="dxa"/>
          <w:left w:w="28" w:type="dxa"/>
          <w:bottom w:w="28" w:type="dxa"/>
          <w:right w:w="28" w:type="dxa"/>
        </w:tblCellMar>
      </w:tblPr>
      <w:tblGrid>
        <w:gridCol w:w="3406"/>
        <w:gridCol w:w="146"/>
        <w:gridCol w:w="211"/>
        <w:gridCol w:w="721"/>
        <w:gridCol w:w="146"/>
        <w:gridCol w:w="146"/>
        <w:gridCol w:w="146"/>
        <w:gridCol w:w="571"/>
        <w:gridCol w:w="271"/>
        <w:gridCol w:w="146"/>
        <w:gridCol w:w="211"/>
        <w:gridCol w:w="721"/>
        <w:gridCol w:w="146"/>
        <w:gridCol w:w="146"/>
        <w:gridCol w:w="146"/>
        <w:gridCol w:w="571"/>
        <w:gridCol w:w="516"/>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franchise royalties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franchise royalties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Revenues primarily consist of retail sales from our Company-owned stores, royalties and fees and advertising contributions from our U.S. franchised stores, royalties and fees from our international franchised stores and sales of food and, to a lesser extent, other products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from period to period as a result of fluctuations in commodity prices as well as the mix of products we sell.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Consolidated revenues increased $233.6 million, or 5.0%, in 2025 primarily due to higher supply chain revenues, higher U.S. franchise advertising revenues and higher U.S. franchise royalties and fees. The increase in supply chain revenues was primarily attributable to higher order volumes and an increase in our food basket pricing to stores, but these increases were partially offset by a shift in the relative mix of products we sell and the transition of our equipment and supplies business to a third-party supplier in 2024. The increases in U.S. franchise advertising revenues and U.S. franchise royalties and fees were driven primarily by same store sales growth and net store growth. U.S. franchise advertising revenues also increased as a result of a decrease in advertising incentives and the increase in the advertising contribution rate. These changes in revenues are described in more detail below.</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U.S. Stores</w:t>
      </w:r>
    </w:p>
    <w:p>
      <w:pPr>
        <w:pStyle w:val="TextBody"/>
        <w:bidi w:val="0"/>
        <w:jc w:val="left"/>
        <w:rPr/>
      </w:pPr>
      <w:r>
        <w:rPr/>
        <w:t> </w:t>
      </w:r>
    </w:p>
    <w:tbl>
      <w:tblPr>
        <w:tblW w:w="7647" w:type="dxa"/>
        <w:jc w:val="left"/>
        <w:tblInd w:w="0" w:type="dxa"/>
        <w:tblLayout w:type="fixed"/>
        <w:tblCellMar>
          <w:top w:w="28" w:type="dxa"/>
          <w:left w:w="28" w:type="dxa"/>
          <w:bottom w:w="28" w:type="dxa"/>
          <w:right w:w="28" w:type="dxa"/>
        </w:tblCellMar>
      </w:tblPr>
      <w:tblGrid>
        <w:gridCol w:w="2686"/>
        <w:gridCol w:w="146"/>
        <w:gridCol w:w="211"/>
        <w:gridCol w:w="721"/>
        <w:gridCol w:w="146"/>
        <w:gridCol w:w="146"/>
        <w:gridCol w:w="146"/>
        <w:gridCol w:w="571"/>
        <w:gridCol w:w="271"/>
        <w:gridCol w:w="146"/>
        <w:gridCol w:w="211"/>
        <w:gridCol w:w="721"/>
        <w:gridCol w:w="146"/>
        <w:gridCol w:w="146"/>
        <w:gridCol w:w="146"/>
        <w:gridCol w:w="571"/>
        <w:gridCol w:w="51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franchise royalties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U.S. stores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U.S. Company-owned Stores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Revenues from U.S. Company-owned store operations decreased $18.7 million, or 4.8%, in 2025 primarily driven by the refranchising of the Maryland market in May 2025, but this decrease was partially offset by higher same store sales.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U.S. Company-owned same store sales increased 1.5% in 2025 and increased 3.5% in 2024.</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U.S. Franchise Royalties and Fees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Revenues from U.S. franchise royalties and fees increased $38.9 million, or 6.1%, in 2025 primarily due to higher same store sales and an increase in the average number of U.S. franchised stores open during the period resulting from net store growth.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U.S. franchise same store sales increased 3.0% in 2025 and increased 3.2% in 2024.</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U.S. Franchise Advertising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Revenues from U.S. franchise advertising increased $49.6 million, or 9.7%, in 2025 primarily due to a decrease in advertising incentives, higher same store sales, an increase in the average number of U.S. franchised stores open during the period resulting from net store growth and the return to the standard 6.0% advertising contribution rate at the beginning of the second quarter of 2024 following the end of the temporary reduction to 5.75%.</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Supply Chain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Supply chain revenues increased $143.7 million, or 5.1%, in 2025 due primarily to an increase in our food basket pricing to stores and higher order volumes. These increases were partially offset by a shift in the relative mix of products we sell and the transition of our equipment and supplies business to a third-party supplier in 2024. Our food basket pricing to stores increased 3.5% during 2025, which resulted in an estimated $142 million increase in supply chain revenues. The food basket pricing change, a statistical measure utilized by management, is calculated as the percentage change of the food basket (including both food and cardboard products) purchased by an average U.S. store (based on average weekly unit sales) from our U.S. supply chain centers against the comparable period of the prior year. We believe this measure is important to understanding Company performance because as our food basket prices fluctuate, our revenues, cost of sales and gross margin percentages in our supply chain segment also fluctuate.</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International Franchise Royalties and Fees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Revenues from international franchise royalties and fees increased $20.0 million, or 6.3%, in 2025 primarily due to an increase in the average number of international franchised stores open during the period resulting from net store growth and higher same store sales (excluding foreign currency impact). These increases were partially offset by the negative impact of changes in foreign currency exchange rates of approximately $0.6 million in 2025. The impact of changes in foreign currency exchange rates on international franchise royalty revenues, a statistical measure utilized by management, is calculated as the difference in international franchise royalty revenues resulting from translating current year local currency results to U.S. dollars at current year exchange rates as compared to prior year exchange rates. We believe this measure is important to understanding Company performance given the significant variability in international franchise royalty revenues that can be driven by changes in foreign currency exchange rates.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International franchise same store sales, excluding the impact of changes in foreign currency exchange rates, increased 1.9% in 2025 and increased 1.6% in 2024.</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Cost of Sales / Gross Margin</w:t>
      </w:r>
    </w:p>
    <w:p>
      <w:pPr>
        <w:pStyle w:val="TextBody"/>
        <w:bidi w:val="0"/>
        <w:jc w:val="left"/>
        <w:rPr/>
      </w:pPr>
      <w:r>
        <w:rPr/>
        <w:t> </w:t>
      </w:r>
    </w:p>
    <w:tbl>
      <w:tblPr>
        <w:tblW w:w="6537" w:type="dxa"/>
        <w:jc w:val="left"/>
        <w:tblInd w:w="0" w:type="dxa"/>
        <w:tblLayout w:type="fixed"/>
        <w:tblCellMar>
          <w:top w:w="28" w:type="dxa"/>
          <w:left w:w="28" w:type="dxa"/>
          <w:bottom w:w="28" w:type="dxa"/>
          <w:right w:w="28" w:type="dxa"/>
        </w:tblCellMar>
      </w:tblPr>
      <w:tblGrid>
        <w:gridCol w:w="1576"/>
        <w:gridCol w:w="146"/>
        <w:gridCol w:w="211"/>
        <w:gridCol w:w="721"/>
        <w:gridCol w:w="146"/>
        <w:gridCol w:w="146"/>
        <w:gridCol w:w="146"/>
        <w:gridCol w:w="571"/>
        <w:gridCol w:w="271"/>
        <w:gridCol w:w="146"/>
        <w:gridCol w:w="211"/>
        <w:gridCol w:w="721"/>
        <w:gridCol w:w="146"/>
        <w:gridCol w:w="146"/>
        <w:gridCol w:w="146"/>
        <w:gridCol w:w="571"/>
        <w:gridCol w:w="516"/>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Consolidated cost of sales consists of U.S. Company-owned store and supply chain costs incurred to generate related revenues. Components of consolidated cost of sales primarily include food and labor costs, as well as other costs including delivery, occupancy costs (including rent, telephone, utilities and depreciation), insurance expense and other. Consolidated gross margin (which we define as revenues less cost of sales) increased $125.1 million, or 6.8%, in 2025 due primarily to higher U.S. franchise advertising, royalties and fees revenues, as well as gross margin dollar growth within supply chain discussed herein. Franchise revenues do not have a cost of sales component, so changes in these revenues have a disproportionate effect on gross margin. We generally update our supply chain gross margin structure on an annual basis. However, as food basket prices fluctuate, revenues, cost of sales and gross margin percentages in our supply chain segment also fluctuate, and further, cost of sales, gross margins and gross margin percentages for our U.S. Company-owned stores also fluctuate.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Consolidated gross margin as a percentage of revenues increased 0.7 percentage points to 40.0% in 2025 from 39.3% in 2024. U.S. Company-owned store gross margin decreased 2.4 percentage points in 2025 and supply chain gross margin increased 0.4 percentage points in 2025. Changes in the significant components of gross margin are described in more detail below.</w:t>
      </w:r>
    </w:p>
    <w:p>
      <w:pPr>
        <w:pStyle w:val="TextBody"/>
        <w:bidi w:val="0"/>
        <w:spacing w:before="200" w:after="283"/>
        <w:jc w:val="left"/>
        <w:rPr>
          <w:rFonts w:ascii="Times New Roman" w:hAnsi="Times New Roman"/>
          <w:b/>
          <w:i/>
          <w:color w:val="000000"/>
          <w:sz w:val="20"/>
          <w:u w:val="single"/>
        </w:rPr>
      </w:pPr>
      <w:r>
        <w:rPr>
          <w:rFonts w:ascii="Times New Roman" w:hAnsi="Times New Roman"/>
          <w:b/>
          <w:i/>
          <w:color w:val="000000"/>
          <w:sz w:val="20"/>
          <w:u w:val="single"/>
        </w:rPr>
        <w:t>U.S. Company-Owned Stores Gross Margin</w:t>
      </w:r>
    </w:p>
    <w:p>
      <w:pPr>
        <w:pStyle w:val="TextBody"/>
        <w:bidi w:val="0"/>
        <w:jc w:val="left"/>
        <w:rPr/>
      </w:pPr>
      <w:r>
        <w:rPr/>
        <w:t> </w:t>
      </w:r>
    </w:p>
    <w:tbl>
      <w:tblPr>
        <w:tblW w:w="6482" w:type="dxa"/>
        <w:jc w:val="left"/>
        <w:tblInd w:w="0" w:type="dxa"/>
        <w:tblLayout w:type="fixed"/>
        <w:tblCellMar>
          <w:top w:w="28" w:type="dxa"/>
          <w:left w:w="28" w:type="dxa"/>
          <w:bottom w:w="28" w:type="dxa"/>
          <w:right w:w="28" w:type="dxa"/>
        </w:tblCellMar>
      </w:tblPr>
      <w:tblGrid>
        <w:gridCol w:w="1821"/>
        <w:gridCol w:w="146"/>
        <w:gridCol w:w="211"/>
        <w:gridCol w:w="571"/>
        <w:gridCol w:w="146"/>
        <w:gridCol w:w="146"/>
        <w:gridCol w:w="146"/>
        <w:gridCol w:w="571"/>
        <w:gridCol w:w="271"/>
        <w:gridCol w:w="146"/>
        <w:gridCol w:w="211"/>
        <w:gridCol w:w="571"/>
        <w:gridCol w:w="146"/>
        <w:gridCol w:w="146"/>
        <w:gridCol w:w="146"/>
        <w:gridCol w:w="571"/>
        <w:gridCol w:w="516"/>
      </w:tblGrid>
      <w:tr>
        <w:trPr/>
        <w:tc>
          <w:tcPr>
            <w:tcW w:w="1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Store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U.S. Company-owned store gross margin (which does not include certain store-level costs such as royalties and advertising) decreased $12.4 million, or 18.8%, in 2025. As a percentage of store revenues, U.S. Company-owned store gross margin decreased 2.4 percentage points in 2025. These changes in gross margin as a percentage of revenues are discussed in additional detail below.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Food costs increased 0.9 percentage points to 29.9% in 2025 driven by the increase in the food basket pricing to stores.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Labor costs were 31.3% in both 2025 and 2024.</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Higher insurance costs drove the remaining decrease in U.S. Company-owned store gross margin as a percentage of revenues in 2025.</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Supply Chain Gross Margin</w:t>
      </w:r>
    </w:p>
    <w:p>
      <w:pPr>
        <w:pStyle w:val="TextBody"/>
        <w:bidi w:val="0"/>
        <w:jc w:val="left"/>
        <w:rPr/>
      </w:pPr>
      <w:r>
        <w:rPr/>
        <w:t> </w:t>
      </w:r>
    </w:p>
    <w:tbl>
      <w:tblPr>
        <w:tblW w:w="7442" w:type="dxa"/>
        <w:jc w:val="left"/>
        <w:tblInd w:w="0" w:type="dxa"/>
        <w:tblLayout w:type="fixed"/>
        <w:tblCellMar>
          <w:top w:w="28" w:type="dxa"/>
          <w:left w:w="28" w:type="dxa"/>
          <w:bottom w:w="28" w:type="dxa"/>
          <w:right w:w="28" w:type="dxa"/>
        </w:tblCellMar>
      </w:tblPr>
      <w:tblGrid>
        <w:gridCol w:w="2481"/>
        <w:gridCol w:w="146"/>
        <w:gridCol w:w="211"/>
        <w:gridCol w:w="721"/>
        <w:gridCol w:w="146"/>
        <w:gridCol w:w="146"/>
        <w:gridCol w:w="146"/>
        <w:gridCol w:w="571"/>
        <w:gridCol w:w="271"/>
        <w:gridCol w:w="146"/>
        <w:gridCol w:w="211"/>
        <w:gridCol w:w="721"/>
        <w:gridCol w:w="146"/>
        <w:gridCol w:w="146"/>
        <w:gridCol w:w="146"/>
        <w:gridCol w:w="571"/>
        <w:gridCol w:w="516"/>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Supply chain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Supply chain gross margin increased $28.9 million, or 9.1%, in 2025. As a percentage of supply chain revenues, supply chain gross margin increased 0.4 percentage points in 2025. These changes in gross margin as a percentage of revenues are discussed in additional detail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Food costs decreased 0.4 percentage points to 70.9% in 2025 driven primarily by procurement productivity, partially offset by the increase in the cost of our food basket.</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Labor costs decreased 0.3 percentage points to 8.9% in 2025 due primarily to higher sales leverage and labor efficiency.</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Higher insurance costs partially offset these improvements in supply chain gross margin as a percentage of revenues in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$4.6 million, or 1.0%, in 2025, primarily due to approximately $5 million in severance expenses associated with an organizational realignment that took place in the first quarter of 2025, as well as higher computer and insurance expenses. These increases were partially offset by expenses related to our Worldwide Rally in the second quarter of 2024, which takes place every two years and did not reoccur in 2025.</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U.S. Franchise Advertising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U.S. franchise advertising expenses increased $49.6 million, or 9.7%, in 2025, consistent with the increase in U.S. franchise advertising revenues, as discussed above. U.S. franchise advertising costs are accrued and expensed when the related U.S. franchise advertising revenues are recognized, as our consolidated not-for-profit advertising fund is obligated to expend such revenues on advertising and other activities that promote the Domino’s brand, and these revenues cannot be used for general corporate purposes.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Refranchising Gain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2025, we refranchised 37 U.S. Company-owned stores, primarily in Maryland, for net proceeds of $8.6 million. The pre-tax refranchising gain associated with the sale of the related assets and liabilities, including a $1.4 million reduction in goodwill, was $4.0 million and was recorded in refranchising gain in our consolidated statements of income.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 (Expense) Income</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expense was $2.5 million in 2025, while other income was $22.1 million in 2024, each representing the net realized and unrealized losses and gains on our investment in DPC Dash. The recorded amount of our investment is based on the active exchange quoted price for the equity security. Additional information related to our investment in DPC Dash is included in Note 1 and Note 4 to our consolidated financial statements.</w:t>
      </w:r>
    </w:p>
    <w:p>
      <w:pPr>
        <w:pStyle w:val="TextBody"/>
        <w:bidi w:val="0"/>
        <w:jc w:val="left"/>
        <w:rPr>
          <w:rFonts w:ascii="Times New Roman" w:hAnsi="Times New Roman"/>
          <w:b/>
          <w:i/>
          <w:color w:val="000000"/>
          <w:sz w:val="20"/>
        </w:rPr>
      </w:pPr>
      <w:r>
        <w:rPr>
          <w:rFonts w:ascii="Times New Roman" w:hAnsi="Times New Roman"/>
          <w:b/>
          <w:i/>
          <w:color w:val="000000"/>
          <w:sz w:val="20"/>
        </w:rPr>
        <w:t>Interest Expense,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Interest expense, net, increased $2.2 million, or 1.3%, in 2025, due to lower interest income on our cash equivalents. Our weighted average borrowing rate was 3.8% in both 2025 and 2024.</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Provision for income taxes increased $30.6 million, or 22.2%, in 2025 due to a higher effective tax rate, as well as an increase in income before provision for income taxes. The effective tax rate increased to 21.9% during 2025, as compared to 19.1% in 2024. The increase in the effective tax rate was driven by a 2.7 percentage point unfavorable change in the impact of excess tax benefits from equity-based compensation, which is recorded as a reduction to the 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applied the relevant provisions of the One Big Beautiful Bill Act following its enactment on July 4, 2025, including provisions related to bonus depreciation, research and development and foreign derived intangible income and it did not have a material impact on our effective tax rate.</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Segment Income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evaluate the performance of our reportable segments and allocate resources to them based on earnings before interest, taxes, depreciation, amortization and other, referred to as Segment Income. Segment Income for each of our reportable segments is summarized in the table below.</w:t>
      </w:r>
    </w:p>
    <w:p>
      <w:pPr>
        <w:pStyle w:val="TextBody"/>
        <w:bidi w:val="0"/>
        <w:jc w:val="left"/>
        <w:rPr/>
      </w:pPr>
      <w:r>
        <w:rPr/>
        <w:t> </w:t>
      </w:r>
    </w:p>
    <w:tbl>
      <w:tblPr>
        <w:tblW w:w="4189" w:type="dxa"/>
        <w:jc w:val="left"/>
        <w:tblInd w:w="0" w:type="dxa"/>
        <w:tblLayout w:type="fixed"/>
        <w:tblCellMar>
          <w:top w:w="28" w:type="dxa"/>
          <w:left w:w="28" w:type="dxa"/>
          <w:bottom w:w="28" w:type="dxa"/>
          <w:right w:w="28" w:type="dxa"/>
        </w:tblCellMar>
      </w:tblPr>
      <w:tblGrid>
        <w:gridCol w:w="1996"/>
        <w:gridCol w:w="146"/>
        <w:gridCol w:w="211"/>
        <w:gridCol w:w="571"/>
        <w:gridCol w:w="146"/>
        <w:gridCol w:w="146"/>
        <w:gridCol w:w="211"/>
        <w:gridCol w:w="571"/>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Franchise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U.S. Stores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stores Segment Income increased $10.0 million, or 1.8%, in 2025, primarily due to higher U.S. franchise royalties and fees revenues as discussed above, but this increase was partially offset by the decrease in U.S. Company-owned store gross margin as discussed above, as well as a shift in the relative mix of labor cost associated with internally developed software. U.S. franchise revenues do not have a cost of sales component, so changes in these revenues have a disproportionate effect on U.S. stores Segment Income. U.S. franchise advertising costs are accrued and expensed when the related U.S. franchise advertising revenues are recognized and had no impact on U.S. stores Segment Income.</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Supply Chain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Supply chain Segment Income increased $39.5 million, or 14.1%, in 2025, primarily due to the increase in supply chain gross margin as discussed above.</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International Franchise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International franchise Segment Income increased $27.9 million, or 10.7%, in 2025, primarily due to higher international franchise royalties and fees revenues as discussed above. In addition, lower general and administrative expenses also contributed to the increase in international franchise Segment Income in 2025. The decrease in general and administrative expenses primarily related to our Worldwide Rally in the second quarter of 2024, which did not reoccur in 2025 as discussed above. International franchise revenues do not have a cost of sales component, so changes in these revenues have a disproportionate effect on international franchise Segment Income.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New Accounting Pronouncements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impact of new accounting pronouncements adopted and the estimated impact of new accounting pronouncements that we will adopt in future years is included in Note 1 to the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Liquidity and Capital Resources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Historically, our receivable collection periods and inventory turn rates are faster than the normal payment terms on our current liabilities resulting in efficient deployment of working capital. We generally collect our receivables within three weeks from the date of the related sale and we generally experience multiple inventory turns per month. In addition, our sales are not typically seasonal, which further limits variations in our working capital requirements. As of December 28, 2025, we had working capital of $134.4 million, excluding restricted cash and cash equivalents of $216.1 million, advertising fund assets, restricted of $117.5 million and advertising fund liabilities of $115.4 million. Working capital includes total unrestricted cash and cash equivalents of $125.7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primary sources of liquidity are cash flows from operations and availability of borrowings under our variable funding notes. During 2025, we experienced an increase in both U.S. and international retail sales (excluding foreign currency impact). Additionally, both our U.S. and international businesses grew store counts during 2025. These factors contributed to our continued ability to generate positive operating cash flows. In addition to our cash flows from operations, we have a variable funding note facility. Our Series 2025-1 Variable Funding Senior Secured Notes, Class A-1 Notes (the “2025 Variable Funding Notes”), allows for advances of up to $320.0 million and issuance of certain other credit instruments, including letters of credit. The letters of credit primarily relate to our casualty insurance programs. As of December 28, 2025, we had no outstanding borrowings and $263.6 million of available borrowing capacity under our 2025 Variable Funding Notes, net of letters of credit issued of $56.4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primary sources of liquidity could be adversely affected by the occurrence of any of the events described in Item 1A. Risk Factors. There can be no assurance that our business will generate sufficient cash flows from operations or that future borrowings will be available under our 2025 Variable Funding Notes or otherwise to enable us to service our indebtedness, or to make anticipated capital expenditures. Our future operating performance and our ability to service, extend or refinance our Notes (defined below) and to service, extend or refinance our 2025 Variable Funding Notes will be subject to future economic conditions and to financial, business and other factors, many of which are beyond our control.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28, 2025, we had $165.8 million of restricted cash and cash equivalents held for future principal and interest payments and other working capital requirements of our asset-backed securitization structure, $50.1 million of restricted cash equivalents held in a three-month interest reserve as required by the related debt agreements and $0.2 million of other restricted cash for a total of $216.1 million of restricted cash and cash equivalents. As of December 28, 2025, we also held $92.2 million of advertising fund restricted cash and cash equivalents which can only be used for activities that promote the Domino’s brand.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Long-Term Debt</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2025 Refinancing</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September 5, 2025, we completed a refinancing transaction (the “2025 Refinancing”) in which certain of our subsidiaries issued new notes pursuant to an asset-backed securitization. The notes consist of $500.0 million Series 2025-1 4.930% Fixed Rate Senior Secured Notes, Class A-2-I with an anticipated repayment date of July 2030 (the “2025 Five-Year Notes”) and $500.0 million Series 2025-1 5.217% Fixed Rate Senior Secured Notes, Class A-2-II with an anticipated repayment date of July 2032 (the “2025 Seven-Year Notes,” and collectively with the 2025 Five-Year Notes, the “2025 Notes”) in an offering exempt from registration under the Securities Act of 1933, as amended.</w:t>
      </w:r>
    </w:p>
    <w:p>
      <w:pPr>
        <w:pStyle w:val="TextBody"/>
        <w:bidi w:val="0"/>
        <w:jc w:val="left"/>
        <w:rPr>
          <w:rFonts w:ascii="Times New Roman" w:hAnsi="Times New Roman"/>
          <w:color w:val="000000"/>
          <w:sz w:val="20"/>
        </w:rPr>
      </w:pPr>
      <w:r>
        <w:rPr>
          <w:rFonts w:ascii="Times New Roman" w:hAnsi="Times New Roman"/>
          <w:color w:val="000000"/>
          <w:sz w:val="20"/>
        </w:rPr>
        <w:t>The proceeds from the issuance of the 2025 Notes, as well as $160.0 million of our unrestricted cash and cash equivalents, were used to (i) repay the remaining $742.0 million in outstanding principal under our 2015 Ten-Year Notes and the remaining $402.7 million in outstanding principal under the Company’s 2018 7.5-Year Notes, (ii) prefund a portion of the interest payable on the 2025 Notes and (iii) pay transaction fees and expenses. In connection with the 2025 Refinancing, we capitalized $15.4 million of debt issuance costs, which are being amortized into interest expense over the five and seven-year expected terms of the 2025 Notes. Additional information related to the 2025 Refinancing is included in Note 3 to our consolidated financial statements.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2021 Recapitalization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16, 2021, we completed the 2021 Recapitalization in which certain of our subsidiaries issued notes pursuant to an asset-backed securitization. The notes consist of $850.0 million Series 2021-1 2.662% Fixed Rate Senior Secured Notes, Class A-2-I with an anticipated term of 7.5 years (the “2021 7.5-Year Notes”) and $1.0 billion Series 2021-1 3.151% Fixed Rate Senior Secured Notes, Class A-2-II with an anticipated term of 10 years (the “2021 Ten-Year Notes”, and, collectively with the 2021 7.5-Year Notes, the “2021 Notes”). Additional information related to the 2021 Recapitalization is included in Note 3 to our consolidated financial statements.</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2019 Recapitalization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November 19, 2019, we completed the 2019 Recapitalization in which certain of our subsidiaries issued $675.0 million Series 2019-1 3.668% Fixed Rate Senior Secured Notes, Class A-2 with an anticipated term of 10 years (the “2019 Notes”) pursuant to an asset-backed securitization. Gross proceeds from the issuance of the 2019 Notes were $675.0 million. Additional information related to the 2019 Recapitalization is included in Note 3 to our consolidated financial statements.</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2018 Recapitalization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24, 2018, we completed the 2018 Recapitalization in which certain of our subsidiaries issued notes pursuant to an asset-backed securitization. The notes consisted of $425.0 million Series 2018-1 4.116% Fixed Rate Senior Secured Notes, Class A-2-I with a term of 7.5 years (the “2018 7.5-Year Notes”), and $400.0 million Series 2018-1 4.328% Fixed Rate Senior Secured Notes, Class A-2-II with an anticipated term of 9.25 years (the “2018 9.25-Year Notes”). The 2018 7.5-Year Notes were repaid in connection with the 2025 Refinancing. Additional information related to the 2018 Recapitalization is included in Note 3 to our consolidated financial statements.</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2017 Recapitalization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24, 2017, we completed the 2017 Recapitalization in which certain of our subsidiaries issued notes pursuant to an asset-backed securitization. The notes consisted of $300.0 million Series 2017-1 Floating Rate Senior Secured Notes, Class A-2-I with an anticipated term of five years (the “2017 Floating Rate Notes”), $600.0 million Series 2017-1 3.082% Fixed Rate Senior Secured Notes, Class A-2-II with an anticipated term of five years (the “2017 Five-Year Notes”), and $1.0 billion Series 2017-1 4.118% Fixed Rate Senior Secured Notes, Class A-2-III with an anticipated term of 10 years (the “2017 Ten-Year Notes”). The 2017 Floating Rate Notes and the 2017 Five-Year Notes were repaid in connection with the 2021 Recapitalization. Additional information related to the 2017 Recapitalization is included in Note 3 to our consolidated financial statements.</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2025 Variable Funding Notes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2025 Refinancing, certain of our subsidiaries issued the 2025 Variable Funding Notes. In connection with the issuance of the 2025 Variable Funding Notes, our previous $200.0 million Series 2021-1 and $120.0 million Series 2022-1 variable funding note facilities were canceled. Additional information related to the 2025 Variable Funding Notes is included in Note 3 to our consolidated financial statements.</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Fixed-Rate Notes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2025 Notes, 2021 Notes, 2019 Notes, 2018 9.25-Year Notes and 2017 Ten-Year Notes are collectively referred to as the “Notes.”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Notes have original scheduled principal payments of $49.3 million in 2026, $1.34 billion in 2027, $836.4 million in 2028, $647.8 million in 2029, $495.0 million in 2030, $927.5 million in 2031 and $470.0 million in 2032. However, in accordance with our debt agreements, the payment of principal on the 2025 Notes may be suspended if either the Holdco Leverage Ratio or Senior Leverage Ratio is less than or equal to 5.5x total debt to either Consolidated Adjusted EBITDA or Securitized Net Cash Flow, each as defined in the indenture governing the securitized debt, and no catch-up provisions are applicable. Further, in accordance with our debt agreements, the payment of principal on the 2021 Notes, 2019 Notes, 2018 9.25-Year Notes and 2017 Ten-Year Notes may be suspended if the Holdco Leverage Ratio is less than or equal to 5.0x total debt to Consolidated Adjusted EBITDA, each as defined in the indenture governing the securitized debt, and no catch-up provisions are applicable. As of the end of the fourth quarter of 2025 and the end of the fourth quarter of 2024, we satisfied the non-amortization tests for each respective series of notes, and accordingly, the outstanding principal amounts of the notes have been classified as long-term debt in the consolidated balance sheet as of December 28, 2025. As of December 29, 2024, current portion of long-term debt included the outstanding principal amounts under the 2015 Ten-Year Notes and the 2018 7.5-Year Notes for which the anticipated repayment date was October 2025.</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Notes are subject to certain financial and non-financial covenants, including a debt service coverage ratio calculation. The covenant requires a minimum coverage ratio of 1.75x total debt service to Securitized Net Cash Flow, each as defined in the indenture governing the securitized debt. In the event that certain covenants are not met, the Notes may become due and payable on an accelerated schedule.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Leases</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lease certain retail store and supply chain center locations, supply chain vehicles, various equipment and our World Resource Center under leases with expiration dates through 2045. Refer to Note 5 to the consolidated financial statements for additional information regarding our leases, including future minimum rental commitments. </w:t>
      </w:r>
    </w:p>
    <w:p>
      <w:pPr>
        <w:pStyle w:val="TextBody"/>
        <w:bidi w:val="0"/>
        <w:jc w:val="left"/>
        <w:rPr>
          <w:rFonts w:ascii="Times New Roman" w:hAnsi="Times New Roman"/>
          <w:b/>
          <w:i/>
          <w:color w:val="000000"/>
          <w:sz w:val="20"/>
        </w:rPr>
      </w:pPr>
      <w:r>
        <w:rPr>
          <w:rFonts w:ascii="Times New Roman" w:hAnsi="Times New Roman"/>
          <w:b/>
          <w:i/>
          <w:color w:val="000000"/>
          <w:sz w:val="20"/>
        </w:rPr>
        <w:t>Capital Expenditures and Other Material Cash Requirements</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the past three years, we have spent approximately $338.8 million on capital expenditures. In 2025, we spent $120.6 million on capital expenditures which primarily related to investments in our consumer and store technology, supply chain centers, corporate store operations and other corporate capital expenditures. We plan to continue investing in consumer and store technology, supply chain centers and corporate store operations, and we expect that our capital expenditures will be approximately $120 million in 2026. We expect to continue to use our unrestricted cash and cash equivalents, cash flows from operations, any excess cash from our refinancing and recapitalization transactions and available borrowings under our 2025 Variable Funding Notes to, among other things, fund working capital requirements, invest in our core business and other strategic opportunities, repay outstanding borrowings under our securitized debt, pay dividends and repurchase and retire shares of our common stock. </w:t>
      </w:r>
    </w:p>
    <w:p>
      <w:pPr>
        <w:pStyle w:val="TextBody"/>
        <w:bidi w:val="0"/>
        <w:jc w:val="left"/>
        <w:rPr>
          <w:rFonts w:ascii="Times New Roman" w:hAnsi="Times New Roman"/>
          <w:b/>
          <w:i/>
          <w:color w:val="000000"/>
          <w:sz w:val="20"/>
        </w:rPr>
      </w:pPr>
      <w:r>
        <w:rPr>
          <w:rFonts w:ascii="Times New Roman" w:hAnsi="Times New Roman"/>
          <w:b/>
          <w:i/>
          <w:color w:val="000000"/>
          <w:sz w:val="20"/>
        </w:rPr>
        <w:t>Investments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hold a non-controlling interest in DPC Dash, our master franchisee in China that owns and operates Domino’s Pizza stores in that market.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28, 2025 and December 29, 2024, the fair value of our investment in DPC Dash was $36.1 million and $82.7 million, respectively. The fair value of our investment in DPC Dash was based on the active exchange quoted price for the equity security of HK$71.90 per share as of December 28, 2025 and HK$79.25 per share as of December 29, 2024. We owned 3,901,019 and 8,101,019 ordinary shares as of December 28, 2025 and December 29, 2024, representing 3.0% and 6.2% of DPC Dash’s ordinary shares as of the respective dates. We sold 4,200,000 ordinary shares of our investment in DPC Dash in the second quarter of 2025 for net proceeds of $44.1 million. We sold 10,000,000 ordinary shares of our investment in DPC Dash in the fourth quarter of 2024 for $82.9 million. We recorded total net negative and positive adjustments to the carrying amount of our investment in DPC Dash of $2.5 million and $22.1 million in 2025 and 2024, respectively, with the net realized and unrealized losses and gains recorded in other expense and other income in our consolidated statements of income, respectively.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Share Repurchase Programs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share repurchase programs have historically been funded by excess operating cash flows, excess proceeds from our recapitalization transactions and borrowings under our variable funding notes. We used cash of $354.7 million in 2025, $327.0 million in 2024 and $269.0 million in 2023 for share repurchases.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28, 2025, we had $459.7 million remaining under the $1.0 billion share repurchase authorization approved by our Board of Directors on February 21, 2024 for repurchases of shares of our common stock.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Dividends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declared dividends of $237.3 million (or $6.96 per share) in 2025, $210.7 million (or $6.04 per share) in 2024 and $170.4 million (or $4.84 per share) in 2023. We paid dividends of $236.9 million, $209.9 million and $169.8 million in 2025, 2024 and 2023,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Subsequent to the end of fiscal 2025, on February 18, 2026, our Board of Directors declared a quarterly dividend of $1.99 per common share payable on March 30, 2026 to shareholders of record at the close of business on March 13, 2026.</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Sources and Uses of Cash</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illustrates the main components of our cash flows:</w:t>
      </w:r>
    </w:p>
    <w:tbl>
      <w:tblPr>
        <w:tblW w:w="9960" w:type="dxa"/>
        <w:jc w:val="left"/>
        <w:tblInd w:w="0" w:type="dxa"/>
        <w:tblLayout w:type="fixed"/>
        <w:tblCellMar>
          <w:top w:w="28" w:type="dxa"/>
          <w:left w:w="28" w:type="dxa"/>
          <w:bottom w:w="28" w:type="dxa"/>
          <w:right w:w="28" w:type="dxa"/>
        </w:tblCellMar>
      </w:tblPr>
      <w:tblGrid>
        <w:gridCol w:w="6091"/>
        <w:gridCol w:w="146"/>
        <w:gridCol w:w="376"/>
        <w:gridCol w:w="1124"/>
        <w:gridCol w:w="166"/>
        <w:gridCol w:w="146"/>
        <w:gridCol w:w="376"/>
        <w:gridCol w:w="1124"/>
        <w:gridCol w:w="411"/>
      </w:tblGrid>
      <w:tr>
        <w:trPr/>
        <w:tc>
          <w:tcPr>
            <w:tcW w:w="6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29,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and cash equivalents, 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Operating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provided by operating activities increased $167.2 million in 2025 primarily as a result of the positive impact of changes in operating assets and liabilities of $98.2 million, primarily related to the timing of vendor payments in 2025 as compared to 2024. Additionally, net income increased $17.5 million and non-cash adjustments increased $33.8 million (primarily representing the changes in the total net realized and unrealized losses and gains associated with the remeasurement of the Company’s investment in DPC Dash and changes in deferred income taxes), resulting in an overall increase to cash provided by operating activities in 2025 as compared to 2024 of $51.3 million. The positive change in advertising fund assets and liabilities, restricted of $17.7 million in 2025 as compared to 2024 also contributed to the increase in cash provided by operating activities and was driven by receipts for advertising contributions outpacing payments for advertising activities.</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Investing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used in investing activities was $70.2 million in 2025, which consisted primarily of capital expenditures of $120.6 million (driven primarily by investments in consumer and store technology, supply chain centers, corporate store operations and other corporate capital expenditures). These investing cash outflows were partially offset by the net proceeds from the sale of 4,200,000 ordinary shares of our investment in DPC Dash for $44.1 million and the net proceeds of $8.6 million for the refranchising of 37 U.S. Company-owned stores primarily in the Maryland market.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used in investing activities was $31.2 million in 2024, which consisted primarily of capital expenditures of $112.9 million (driven primarily by investments in consumer and store technology, supply chain centers and corporate store operations). These investing cash outflows were partially offset by the net proceeds from the sale of 10,000,000 ordinary shares of our investment in DPC Dash for $82.9 million.</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Financing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Cash used in financing activities was $752.1 million in 2025. In connection with the 2025 Refinancing, we issued $1.00 billion of new notes including $500.0 million 2025 Five-Year Notes and $500.0 million 2025 Seven-Year Notes. We used the proceeds from the issuance of the 2025 Notes, as well as $160.0 million of our unrestricted cash and cash equivalents, to repay the remaining $742.0 million in outstanding principal under our 2015 Ten-Year Notes and the remaining $402.7 million in outstanding principal under our 2018 7.5-Year Notes and to pay $15.4 million in debt issuance costs. We repurchased and retired $354.7 million in shares of our common stock under our Board of Directors-approved share repurchase program, as well as made $3.0 million in excise tax payments related to our share repurchase programs. We also made dividend payments to our shareholders of $236.9 million, had tax payments for the vesting of restricted stock of $11.4 million and made repayments of principal amounts related to our finance leases and other financing obligations of $4.8 million. These uses of cash were partially offset by proceeds from the exercise of stock options of $18.8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used in financing activities was $532.2 million in 2024. We repurchased and retired $327.0 million in shares of our common stock under our Board of Directors-approved share repurchase program, as well as made $2.6 million in excise tax payments related to our share repurchase programs. We also made dividend payments to our shareholders of $209.9 million. We also made repayments of long-term debt and principal amounts related to our finance leases and other financing obligations of $17.6 million and had tax payments for the vesting of restricted stock of $11.1 million. These uses of cash were partially offset by proceeds from the exercise of stock options of $36.0 million.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Impact of Inflation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Given the inflation rates in recent years, there have been and may continue to be increases in food, labor, insurance and occupancy costs which have and could further impact our profitability and that of our franchisees and which could impact the opening of new U.S. and international franchised stores and adversely affect our operating results. Factors such as inflation, increased food costs, increased labor and employee health and benefit costs, increased rent costs, increased insurance costs and increased energy costs may adversely affect our operating costs and profitability and those of our franchisees and could result in menu price increases. The impact of inflation is described with respect to our food basket pricing to stores and our labor and insurance cost, in the discussion of supply chain revenues and U.S. Company-owned store and supply chain gross margins, above. Severe increases in inflation could affect the global and U.S. economies and could have an adverse impact on our business, financial condition and results of operations. Further discussion on the impact of commodities and other cost pressures is included above, as well as in Item 7A. Quantitative and Qualitative Disclosures About Market Risk.</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SAFE HARBOR STATEMENT UNDER THE PRIVATE SECURITIES LITIGATION REFORM ACT OF 1995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Form 10-K includes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forward-looking statements generally can be identified by the use of words such as “anticipate,” “believe,” “could,” “should,” “estimate,” “expect,” “intend,” “may,” “will,” “plan,” “predict,” “project,” “seek,”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the expected demand for future pizza delivery and carryout, our expectation that we will meet the terms of our agreement with our third-party supplier of pizza cheese, our belief that alternative third-party suppliers are available for our key ingredients in the event we are required to replace any of our supply partners, our intention to continue to enhance and grow online ordering, digital marketing and technological capabilities, our expectation that there will be no material environmental compliance-related capital expenditures, our plans to expand U.S. and international operations in many of the markets where we currently operate and in selected new markets, our expectation that the obligation for advertising fees payable to DNAF will remain in place for the foreseeable future, and the availability of our borrowings under the 2025 Variable Funding Notes for, among other things, funding working capital requirements, paying capital expenditures and funding other general corporate purposes, including payment of dividends.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Forward-looking statements relating to our anticipated profitability, estimates in same store sales growth, store growth and the growth of our U.S. and international business in general, ability to service our indebtedness, our future cash flows, our operating performance, trends in our business and other descriptions of future events reflect management’s expectations based upon currently available information and data. While we believe these expectations and projections are based on reasonable assumptions, such forward-looking statements are inherently subject to risks, uncertainties and assumptions about us, including the risk factors listed under Item 1A. Risk Factors, as well as other cautionary language in this Form 10-K.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Actual results may differ materially from those expressed or implied in the forward-looking statements as a result of various factors, including but not limited to, the following: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substantial indebtedness and our ability to incur additional indebtedness or refinance or renegotiate key terms of that indebtedness in the future;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impact a downgrade in our credit rating may have on our business, financial condition and results of operations;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future financial performance and our ability to pay principal and interest on our indebtedness;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strength of our brand, including our ability to compete in the U.S. and internationally in our intensely competitive industry, including the food service and food delivery markets;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successfully implement our growth strategy, including through our participation in the third-party order aggregation marketplace;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labor shortages or changes in operating expenses resulting from increases in prices of food (particularly cheese), fuel and other commodity costs, labor, utilities, insurance, employee benefits and other operating costs or negative economic conditions;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effectiveness of our advertising, operations and promotional initiatives;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shortages, interruptions or disruptions in the supply or delivery of fresh food products and store equipment;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additional risks our international operations subject us to, which may differ in each country in which we and our franchisees do business;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dependence of our earnings and business growth strategy on the success of our franchisees;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and that of our franchisees to successfully operate in the current and future credit environment;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impact of social media, the rise of AI-generated content, or a boycott on our business, brand and reputation;</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impact of new or improved technologies, including AI, and alternative methods of delivery on consumer behavior;</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new product, digital ordering and concept developments by us, and other food-industry competitors;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maintain good relationships with and attract new franchisees and franchisees’ ability to successfully manage their operations without negatively impacting our royalty payments and fees or our brand’s reputation;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successfully implement cost-saving strategies;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the level of consumer spending given general economic conditions, including interest rates, energy prices and consumer confidence or negative economic conditions in general;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and that of our franchisees to open new restaurants and keep existing restaurants in operation and maintain demand for new stores;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impact that widespread illness, health epidemics or general health concerns, severe weather conditions and natural disasters may have on our business and the economies of the countries where we operate;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foreign currency exchange rates;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income tax rates;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retain or replace our executive officers and other key members of management and our ability to adequately staff our stores and supply chain centers with qualified personnel;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find and/or retain suitable real estate for our stores and supply chain centers;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government legislation or regulation, including changes in laws and regulations regarding information privacy, payment methods, advertising and consumer protection and social media;</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adverse legal judgments or settlements;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food-borne illness or contamination of products or food tampering or other events that may impact our reputation;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data breaches, power loss, technological failures, user error or other cyber risks threatening us or our franchisees;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impact that environmental, social and governance matters may have on our business and reputation;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effect of war, terrorism, catastrophic events, geopolitical or reputational considerations or climate change;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pay dividends and repurchase shares;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consumer taste, spending and traffic patterns and demographic trends;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accounting policies;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adequacy of our insurance coverage.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light of these risks, uncertainties and assumptions, the forward-looking events discussed in this Form 10-K might not occur. All forward-looking statements speak only as of the date of this Form 10-K and should be evaluated with an understanding of their inherent uncertainty. Except as required under federal securities laws and the rules and regulations of the Securities and Exchange Commission, we will not undertake, and specifically disclaim any obligation to publicly update or revise any forward-looking statements to reflect events or circumstances arising after the date of this Form 10-K, whether as a result of new information, future events or otherwise.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Readers are cautioned not to place undue reliance on the forward-looking statements included in this Form 10-K or that may be made elsewhere from time to time by, or on behalf of, us. All forward-looking statements attributable to us are expressly qualified by these cautionary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3" w:name="item7a_quantitative_disclosures"/>
      <w:bookmarkEnd w:id="13"/>
      <w:r>
        <w:rPr>
          <w:rFonts w:ascii="Times New Roman" w:hAnsi="Times New Roman"/>
          <w:b/>
          <w:color w:val="000000"/>
          <w:sz w:val="20"/>
        </w:rPr>
        <w:t>Item 7A. Quantitative and Qualitative Disclosures About Market Risk.</w:t>
      </w:r>
    </w:p>
    <w:p>
      <w:pPr>
        <w:pStyle w:val="TextBody"/>
        <w:bidi w:val="0"/>
        <w:jc w:val="left"/>
        <w:rPr>
          <w:rFonts w:ascii="Times New Roman" w:hAnsi="Times New Roman"/>
          <w:sz w:val="20"/>
        </w:rPr>
      </w:pPr>
      <w:r>
        <w:rPr>
          <w:rFonts w:ascii="Times New Roman" w:hAnsi="Times New Roman"/>
          <w:b/>
          <w:i/>
          <w:color w:val="000000"/>
          <w:sz w:val="20"/>
        </w:rPr>
        <w:t>Market risk</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do not engage in speculative transactions, nor do we hold or issue financial instruments for trading purposes. In connection with the refinancings and recapitalizations of our business, we have issued fixed rate notes and entered into variable funding notes, and, at December 28, 2025, we are exposed to interest rate risk on borrowings under our 2025 Variable Funding Notes. As of December 28, 2025, we did not have any outstanding borrowings under our 2025 Variable Funding Notes.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2025 Variable Funding Notes bear interest at fluctuating interest rates based on the Secured Overnight Financing Rate (“Term SOFR”), plus a spread adjustment. Accordingly, a rising interest rate environment could result in higher interest expense due on borrowings under our 2025 Variable Funding Notes, in which event we may have difficulties making interest payments and funding our other fixed costs, and our available cash flow for general corporate requirements may be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fixed-rate debt exposes us to changes in market interest rates reflected in the fair value of the debt and to the risk that the Company may need to refinance maturing debt with new debt at a higher rate.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exposed to market risks from changes in food and commodity prices. During the normal course of business, we purchase cheese and certain other food products that are affected by changes in commodity prices and, as a result, we are subject to volatility in our food costs. Severe increases in commodity prices or food costs, including as a result of inflation, could affect the global and U.S. economies and could also adversely impact our business, financial condition or results of operations. We may periodically enter into financial instruments to manage this risk, although we have not done so historically. We do not engage in speculative transactions or hold or issue financial instruments for trading purposes. In instances when we use fixed pricing agreements with our suppliers, these agreements cover our physical commodity needs, are not net-settled and are accounted for as normal purchases.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Foreign currency exchange rate risk</w:t>
      </w:r>
      <w:r>
        <w:rPr>
          <w:rFonts w:ascii="Times New Roman" w:hAnsi="Times New Roman"/>
          <w:color w:val="000000"/>
          <w:sz w:val="20"/>
        </w:rPr>
        <w:t xml:space="preserve"> </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have exposure to various foreign currency exchange rate fluctuations for revenues generated by our operations outside the U.S., which can adversely impact our net income and cash flows. Approximately 6.9% of our total revenues in 2025, 6.8% of our total revenues in 2024 and 6.9% of our total revenues in 2023 were derived from our international franchise segment, a majority of which were denominated in foreign currencies. We also operate dough manufacturing and distribution facilities in Canada, which generate revenues denominated in Canadian dollars. We do not enter into financial instruments to manage this foreign currency exchange risk. A hypothetical 10% adverse change in the foreign currency rates for our international markets would have resulted in a negative impact on international franchise royalty and fee revenues of approximately $30.0 million in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4" w:name="item8_financial_statements_supplementary"/>
      <w:bookmarkEnd w:id="14"/>
      <w:r>
        <w:rPr>
          <w:rFonts w:ascii="Times New Roman" w:hAnsi="Times New Roman"/>
          <w:b/>
          <w:color w:val="000000"/>
          <w:sz w:val="20"/>
        </w:rPr>
        <w:t>Item 8. Financial Statements and Supplementary Data.</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Board of Directors and Stockholders of Domino’s Pizza, Inc.</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Opinions on the Financial Statements and Internal Control over Financial Reporting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have audited the accompanying consolidated balance sheets of Domino’s Pizza, Inc. and its subsidiaries (the “Company”) as of December 28, 2025 and December 29, 2024, and the related consolidated statements of income, of comprehensive income, of stockholders’ deficit and of cash flows for each of the three years in the period ended December 28, 2025, including the related notes and schedule of condensed financial information as of December 28, 2025 and December 29, 2024 and for each of the three years in the period ended December 28, 2025 appearing under Item 15 (collectively referred to as the “consolidated financial statements”). We also have audited the Company’s internal control over financial reporting as of December 28,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(COSO).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our opinion, the consolidated financial statements referred to above present fairly, in all material respects, the financial position of the Company as of December 28, 2025 and December 29, 2024, and the results of its operations and its cash flows for each of the three years in the period ended December 28, 2025 in conformity with accounting principles generally accepted in the United States of America. Also in our opinion, the Company maintained, in all material respects, effective internal control over financial reporting as of December 28,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COSO.</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Basis for Opinions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Definition and Limitations of Internal Control over Financial Reporting</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Critical Audit Matters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Valuation of Casualty Insurance Reserves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described in Note 1 to the consolidated financial statements, the Company has retention programs for workers’ compensation, general liability, and owned and non-owned automobile liabilities for certain periods prior to December 1998 and for periods after December 2001. As of December 28, 2025, the Company had accruals for these casualty insurance matters of $51.2 million. Casualty insurance reserves are based on undiscounted actuarial estimates. These estimates are based on historical information and on certain assumptions about future events. As disclosed by management, analyses of historical trends and actuarial valuation methods are utilized to estimate the ultimate claim costs for claims incurred as of the balance sheet date and for claims incurred but not yet reported. When estimating these liabilities, several factors are considered, including the severity, duration and frequency of claims, legal cost associated with claims, healthcare trends and projected inflation.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principal considerations for our determination that performing procedures relating to the valuation of casualty insurance reserves is a critical audit matter are (i) the significant judgment by management when developing the casualty insurance reserves; (ii) a high degree of auditor judgment, subjectivity, and effort in performing procedures relating to the actuarial valuation methods used to estimate the ultimate claim costs and in evaluating management's significant assumptions related to the severity, duration and frequency of claims, legal cost associated with claims, healthcare trends and projected inflation; and (iii) the audit effort involved the use of professionals with specialized skill and knowledge.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valuation of casualty insurance reserves. These procedures also included, among others (i) reading the Company’s casualty insurance retention program documents and (ii) testing the completeness and accuracy of the underlying historical claims data used in the actuarial valuation methods. Professionals with specialized skill and knowledge were used to assist in testing management’s process for developing the casualty insurance reserves, including evaluating (i) the appropriateness of the actuarial valuation methods and (ii) the reasonableness of the significant assumptions related to the severity, duration and frequency of claims, legal cost associated with claims, healthcare trends and projected inflation.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PricewaterhouseCoopers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Detroit, Michigan</w:t>
      </w:r>
    </w:p>
    <w:p>
      <w:pPr>
        <w:pStyle w:val="TextBody"/>
        <w:bidi w:val="0"/>
        <w:jc w:val="left"/>
        <w:rPr>
          <w:rFonts w:ascii="Times New Roman" w:hAnsi="Times New Roman"/>
          <w:color w:val="000000"/>
          <w:sz w:val="20"/>
        </w:rPr>
      </w:pPr>
      <w:r>
        <w:rPr>
          <w:rFonts w:ascii="Times New Roman" w:hAnsi="Times New Roman"/>
          <w:color w:val="000000"/>
          <w:sz w:val="20"/>
        </w:rPr>
        <w:t>February 23,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2002.</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5" w:name="item_8_consolidated_financial_statements"/>
      <w:bookmarkEnd w:id="15"/>
      <w:r>
        <w:rPr>
          <w:rFonts w:ascii="Times New Roman" w:hAnsi="Times New Roman"/>
          <w:b/>
          <w:color w:val="000000"/>
          <w:sz w:val="20"/>
        </w:rPr>
        <w:t>Domino’s Pizza,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and per share amounts)</w:t>
      </w:r>
    </w:p>
    <w:tbl>
      <w:tblPr>
        <w:tblW w:w="9445" w:type="dxa"/>
        <w:jc w:val="left"/>
        <w:tblInd w:w="0" w:type="dxa"/>
        <w:tblLayout w:type="fixed"/>
        <w:tblCellMar>
          <w:top w:w="28" w:type="dxa"/>
          <w:left w:w="28" w:type="dxa"/>
          <w:bottom w:w="28" w:type="dxa"/>
          <w:right w:w="28" w:type="dxa"/>
        </w:tblCellMar>
      </w:tblPr>
      <w:tblGrid>
        <w:gridCol w:w="6186"/>
        <w:gridCol w:w="146"/>
        <w:gridCol w:w="198"/>
        <w:gridCol w:w="897"/>
        <w:gridCol w:w="166"/>
        <w:gridCol w:w="146"/>
        <w:gridCol w:w="198"/>
        <w:gridCol w:w="897"/>
        <w:gridCol w:w="611"/>
      </w:tblGrid>
      <w:tr>
        <w:trPr/>
        <w:tc>
          <w:tcPr>
            <w:tcW w:w="6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December 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December 29,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u w:val="single"/>
              </w:rPr>
            </w:pPr>
            <w:r>
              <w:rPr>
                <w:rFonts w:ascii="Times New Roman" w:hAnsi="Times New Roman"/>
                <w:b/>
                <w:color w:val="000000"/>
                <w:sz w:val="17"/>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186,126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216,110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195,370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Accounts receivable, net of reserves of $5,805</w:t>
            </w:r>
            <w:r>
              <w:rPr>
                <w:rFonts w:ascii="Times New Roman" w:hAnsi="Times New Roman"/>
                <w:color w:val="000000"/>
                <w:sz w:val="20"/>
              </w:rPr>
              <w:t> </w:t>
            </w:r>
            <w:r>
              <w:rPr>
                <w:rFonts w:ascii="Times New Roman" w:hAnsi="Times New Roman"/>
                <w:color w:val="000000"/>
                <w:sz w:val="17"/>
              </w:rPr>
              <w:t>in 2025 and $5,834</w:t>
            </w:r>
            <w:r>
              <w:rPr>
                <w:rFonts w:ascii="Times New Roman" w:hAnsi="Times New Roman"/>
                <w:color w:val="000000"/>
                <w:sz w:val="20"/>
              </w:rPr>
              <w:t> </w:t>
            </w:r>
            <w:r>
              <w:rPr>
                <w:rFonts w:ascii="Times New Roman" w:hAnsi="Times New Roman"/>
                <w:color w:val="000000"/>
                <w:sz w:val="17"/>
              </w:rPr>
              <w:t>in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315,958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309,104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70,919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Prepaid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40,363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Advertising fund assets, restricted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117,502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103,396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894,201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905,278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Land and buildings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104,793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Leasehold and other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191,718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413,303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390,542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22,717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758,719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709,770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(434,697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(408,591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324,022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301,179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219,485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210,302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Investments in marketable securities, restricted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20,638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11,578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Capitalized software, net of accumulated amortization of $201,120</w:t>
            </w:r>
            <w:r>
              <w:rPr>
                <w:rFonts w:ascii="Times New Roman" w:hAnsi="Times New Roman"/>
                <w:color w:val="000000"/>
                <w:sz w:val="20"/>
              </w:rPr>
              <w:t> </w:t>
            </w:r>
            <w:r>
              <w:rPr>
                <w:rFonts w:ascii="Times New Roman" w:hAnsi="Times New Roman"/>
                <w:color w:val="000000"/>
                <w:sz w:val="17"/>
              </w:rPr>
              <w:t>in 2025</w:t>
              <w:br/>
              <w:t>   and $193,854</w:t>
            </w:r>
            <w:r>
              <w:rPr>
                <w:rFonts w:ascii="Times New Roman" w:hAnsi="Times New Roman"/>
                <w:color w:val="000000"/>
                <w:sz w:val="20"/>
              </w:rPr>
              <w:t> </w:t>
            </w:r>
            <w:r>
              <w:rPr>
                <w:rFonts w:ascii="Times New Roman" w:hAnsi="Times New Roman"/>
                <w:color w:val="000000"/>
                <w:sz w:val="17"/>
              </w:rPr>
              <w:t>in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155,025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Investment in DPC Dash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82,699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26,882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income tax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Total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498,236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530,556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1,716,459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1,737,013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u w:val="single"/>
              </w:rPr>
            </w:pPr>
            <w:r>
              <w:rPr>
                <w:rFonts w:ascii="Times New Roman" w:hAnsi="Times New Roman"/>
                <w:b/>
                <w:color w:val="000000"/>
                <w:sz w:val="17"/>
                <w:u w:val="single"/>
              </w:rPr>
              <w:t>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1,149,679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85,898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58,203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32,783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39,920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Insurance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Advertising fund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101,567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118,754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541,621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1,612,462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Long-term 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4,810,683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3,825,659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183,917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181,983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Insurance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33,229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48,421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45,971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Total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5,075,980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4,086,842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5,617,601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5,699,304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Commitments and contingencies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Common stock, par value $0.01</w:t>
            </w:r>
            <w:r>
              <w:rPr>
                <w:rFonts w:ascii="Times New Roman" w:hAnsi="Times New Roman"/>
                <w:color w:val="000000"/>
                <w:sz w:val="20"/>
              </w:rPr>
              <w:t> </w:t>
            </w:r>
            <w:r>
              <w:rPr>
                <w:rFonts w:ascii="Times New Roman" w:hAnsi="Times New Roman"/>
                <w:color w:val="000000"/>
                <w:sz w:val="17"/>
              </w:rPr>
              <w:t>per share; 170,000,000</w:t>
            </w:r>
            <w:r>
              <w:rPr>
                <w:rFonts w:ascii="Times New Roman" w:hAnsi="Times New Roman"/>
                <w:color w:val="000000"/>
                <w:sz w:val="20"/>
              </w:rPr>
              <w:t> </w:t>
            </w:r>
            <w:r>
              <w:rPr>
                <w:rFonts w:ascii="Times New Roman" w:hAnsi="Times New Roman"/>
                <w:color w:val="000000"/>
                <w:sz w:val="17"/>
              </w:rPr>
              <w:t>shares authorized;</w:t>
              <w:br/>
              <w:t>   33,627,992</w:t>
            </w:r>
            <w:r>
              <w:rPr>
                <w:rFonts w:ascii="Times New Roman" w:hAnsi="Times New Roman"/>
                <w:color w:val="000000"/>
                <w:sz w:val="20"/>
              </w:rPr>
              <w:t> </w:t>
            </w:r>
            <w:r>
              <w:rPr>
                <w:rFonts w:ascii="Times New Roman" w:hAnsi="Times New Roman"/>
                <w:color w:val="000000"/>
                <w:sz w:val="17"/>
              </w:rPr>
              <w:t>in 2025 and 34,281,927</w:t>
            </w:r>
            <w:r>
              <w:rPr>
                <w:rFonts w:ascii="Times New Roman" w:hAnsi="Times New Roman"/>
                <w:color w:val="000000"/>
                <w:sz w:val="20"/>
              </w:rPr>
              <w:t> </w:t>
            </w:r>
            <w:r>
              <w:rPr>
                <w:rFonts w:ascii="Times New Roman" w:hAnsi="Times New Roman"/>
                <w:color w:val="000000"/>
                <w:sz w:val="17"/>
              </w:rPr>
              <w:t>in 2024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Preferred stock, par value $0.01</w:t>
            </w:r>
            <w:r>
              <w:rPr>
                <w:rFonts w:ascii="Times New Roman" w:hAnsi="Times New Roman"/>
                <w:color w:val="000000"/>
                <w:sz w:val="20"/>
              </w:rPr>
              <w:t> </w:t>
            </w:r>
            <w:r>
              <w:rPr>
                <w:rFonts w:ascii="Times New Roman" w:hAnsi="Times New Roman"/>
                <w:color w:val="000000"/>
                <w:sz w:val="17"/>
              </w:rPr>
              <w:t>per share; 5,000,000</w:t>
            </w:r>
            <w:r>
              <w:rPr>
                <w:rFonts w:ascii="Times New Roman" w:hAnsi="Times New Roman"/>
                <w:color w:val="000000"/>
                <w:sz w:val="20"/>
              </w:rPr>
              <w:t> </w:t>
            </w:r>
            <w:r>
              <w:rPr>
                <w:rFonts w:ascii="Times New Roman" w:hAnsi="Times New Roman"/>
                <w:color w:val="000000"/>
                <w:sz w:val="17"/>
              </w:rPr>
              <w:t>shares authorized, none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Retained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(3,898,622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(3,956,474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(7,432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Total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(3,901,142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(3,962,291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Total 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1,716,459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1,737,013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283"/>
        <w:jc w:val="center"/>
        <w:rPr>
          <w:rFonts w:ascii="Times New Roman" w:hAnsi="Times New Roman"/>
          <w:color w:val="000000"/>
          <w:sz w:val="18"/>
        </w:rPr>
      </w:pPr>
      <w:r>
        <w:rPr>
          <w:rFonts w:ascii="Times New Roman" w:hAnsi="Times New Roman"/>
          <w:color w:val="000000"/>
          <w:sz w:val="18"/>
        </w:rPr>
        <w:t>The accompanying notes are an integral part of these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Domino’s Pizza,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pPr>
      <w:r>
        <w:rPr/>
        <w:t> </w:t>
      </w:r>
    </w:p>
    <w:tbl>
      <w:tblPr>
        <w:tblW w:w="8193" w:type="dxa"/>
        <w:jc w:val="left"/>
        <w:tblInd w:w="0" w:type="dxa"/>
        <w:tblLayout w:type="fixed"/>
        <w:tblCellMar>
          <w:top w:w="28" w:type="dxa"/>
          <w:left w:w="28" w:type="dxa"/>
          <w:bottom w:w="28" w:type="dxa"/>
          <w:right w:w="28" w:type="dxa"/>
        </w:tblCellMar>
      </w:tblPr>
      <w:tblGrid>
        <w:gridCol w:w="3606"/>
        <w:gridCol w:w="146"/>
        <w:gridCol w:w="211"/>
        <w:gridCol w:w="931"/>
        <w:gridCol w:w="166"/>
        <w:gridCol w:w="146"/>
        <w:gridCol w:w="211"/>
        <w:gridCol w:w="931"/>
        <w:gridCol w:w="166"/>
        <w:gridCol w:w="146"/>
        <w:gridCol w:w="211"/>
        <w:gridCol w:w="931"/>
        <w:gridCol w:w="391"/>
      </w:tblGrid>
      <w:tr>
        <w:trPr/>
        <w:tc>
          <w:tcPr>
            <w:tcW w:w="3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604,897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2,715,009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310,077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559,494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4,939,994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4,479,358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2,437,268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2,857,914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2,751,941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1,727,417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Refranchising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819,519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652,440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584,170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519,118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Domino’s Pizza,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6957" w:type="dxa"/>
        <w:jc w:val="left"/>
        <w:tblInd w:w="0" w:type="dxa"/>
        <w:tblLayout w:type="fixed"/>
        <w:tblCellMar>
          <w:top w:w="28" w:type="dxa"/>
          <w:left w:w="28" w:type="dxa"/>
          <w:bottom w:w="28" w:type="dxa"/>
          <w:right w:w="28" w:type="dxa"/>
        </w:tblCellMar>
      </w:tblPr>
      <w:tblGrid>
        <w:gridCol w:w="2731"/>
        <w:gridCol w:w="146"/>
        <w:gridCol w:w="233"/>
        <w:gridCol w:w="862"/>
        <w:gridCol w:w="146"/>
        <w:gridCol w:w="146"/>
        <w:gridCol w:w="233"/>
        <w:gridCol w:w="862"/>
        <w:gridCol w:w="166"/>
        <w:gridCol w:w="146"/>
        <w:gridCol w:w="233"/>
        <w:gridCol w:w="862"/>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519,118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580,605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519,945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Domino’s Pizza, Inc. and Subsidiaries</w:t>
      </w:r>
    </w:p>
    <w:p>
      <w:pPr>
        <w:pStyle w:val="TextBody"/>
        <w:bidi w:val="0"/>
        <w:jc w:val="center"/>
        <w:rPr>
          <w:rFonts w:ascii="Times New Roman" w:hAnsi="Times New Roman"/>
          <w:sz w:val="20"/>
        </w:rPr>
      </w:pPr>
      <w:r>
        <w:rPr>
          <w:rFonts w:ascii="Times New Roman" w:hAnsi="Times New Roman"/>
          <w:b/>
          <w:color w:val="000000"/>
          <w:sz w:val="20"/>
        </w:rPr>
        <w:t>CONSOLIDATED STATEMENTS OF STOCKHOLDERS’ DEFICIT</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78"/>
        <w:gridCol w:w="146"/>
        <w:gridCol w:w="146"/>
        <w:gridCol w:w="916"/>
        <w:gridCol w:w="166"/>
        <w:gridCol w:w="146"/>
        <w:gridCol w:w="236"/>
        <w:gridCol w:w="455"/>
        <w:gridCol w:w="166"/>
        <w:gridCol w:w="146"/>
        <w:gridCol w:w="199"/>
        <w:gridCol w:w="672"/>
        <w:gridCol w:w="166"/>
        <w:gridCol w:w="146"/>
        <w:gridCol w:w="196"/>
        <w:gridCol w:w="886"/>
        <w:gridCol w:w="166"/>
        <w:gridCol w:w="146"/>
        <w:gridCol w:w="310"/>
        <w:gridCol w:w="906"/>
        <w:gridCol w:w="311"/>
      </w:tblGrid>
      <w:tr>
        <w:trPr/>
        <w:tc>
          <w:tcPr>
            <w:tcW w:w="35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35,419,718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(4,194,418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(4,694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35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7"/>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519,118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17"/>
              </w:rPr>
              <w:t>Dividends declared on common stock and equivalents</w:t>
              <w:br/>
              <w:t>  ($4.84</w:t>
            </w:r>
            <w:r>
              <w:rPr>
                <w:rFonts w:ascii="Times New Roman" w:hAnsi="Times New Roman"/>
                <w:color w:val="000000"/>
                <w:sz w:val="20"/>
              </w:rPr>
              <w:t> </w:t>
            </w:r>
            <w:r>
              <w:rPr>
                <w:rFonts w:ascii="Times New Roman" w:hAnsi="Times New Roman"/>
                <w:color w:val="000000"/>
                <w:sz w:val="17"/>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7"/>
              </w:rPr>
              <w:t>Issuance and cancellation of stock awards,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7"/>
              </w:rPr>
              <w:t>Tax payments for restricted stock upon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7"/>
              </w:rPr>
              <w:t>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(789,977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7"/>
              </w:rPr>
              <w:t>Exercises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7"/>
              </w:rPr>
              <w:t>Non-cash 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7"/>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34,726,182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(4,069,648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(3,867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35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7"/>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584,170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17"/>
              </w:rPr>
              <w:t>Dividends declared on common stock and equivalents</w:t>
              <w:br/>
              <w:t>  ($6.04</w:t>
            </w:r>
            <w:r>
              <w:rPr>
                <w:rFonts w:ascii="Times New Roman" w:hAnsi="Times New Roman"/>
                <w:color w:val="000000"/>
                <w:sz w:val="20"/>
              </w:rPr>
              <w:t> </w:t>
            </w:r>
            <w:r>
              <w:rPr>
                <w:rFonts w:ascii="Times New Roman" w:hAnsi="Times New Roman"/>
                <w:color w:val="000000"/>
                <w:sz w:val="17"/>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(210,676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7"/>
              </w:rPr>
              <w:t>Issuance and cancellation of stock awards,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7"/>
              </w:rPr>
              <w:t>Tax payments for restricted stock upon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7"/>
              </w:rPr>
              <w:t>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(758,242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(260,320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7"/>
              </w:rPr>
              <w:t>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270,424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7"/>
              </w:rPr>
              <w:t>Non-cash 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7"/>
              </w:rPr>
              <w:t>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(3,565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December 29,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34,281,927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(3,956,474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(7,432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35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7"/>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601,704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17"/>
              </w:rPr>
              <w:t>Dividends declared on common stock and equivalents</w:t>
              <w:br/>
              <w:t>  ($6.96</w:t>
            </w:r>
            <w:r>
              <w:rPr>
                <w:rFonts w:ascii="Times New Roman" w:hAnsi="Times New Roman"/>
                <w:color w:val="000000"/>
                <w:sz w:val="20"/>
              </w:rPr>
              <w:t> </w:t>
            </w:r>
            <w:r>
              <w:rPr>
                <w:rFonts w:ascii="Times New Roman" w:hAnsi="Times New Roman"/>
                <w:color w:val="000000"/>
                <w:sz w:val="17"/>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(237,330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7"/>
              </w:rPr>
              <w:t>Issuance and cancellation of stock awards,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7"/>
              </w:rPr>
              <w:t>Tax payments for restricted stock upon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7"/>
              </w:rPr>
              <w:t>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(785,280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(306,522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7"/>
              </w:rPr>
              <w:t>Exercises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7"/>
              </w:rPr>
              <w:t>Non-cash 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7"/>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December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33,627,992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(3,898,622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(4,766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Domino’s Pizza,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CASH FLOWS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5566"/>
        <w:gridCol w:w="146"/>
        <w:gridCol w:w="197"/>
        <w:gridCol w:w="896"/>
        <w:gridCol w:w="166"/>
        <w:gridCol w:w="146"/>
        <w:gridCol w:w="223"/>
        <w:gridCol w:w="858"/>
        <w:gridCol w:w="166"/>
        <w:gridCol w:w="146"/>
        <w:gridCol w:w="223"/>
        <w:gridCol w:w="858"/>
        <w:gridCol w:w="614"/>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601,704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584,170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519,118</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80,640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Refranchising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Loss on sale/disposal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1,299</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5,535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Provision (benefit) for 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(19,509</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Non-cash 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37,514</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Excess tax benefits from 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(3,397</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(Benefit) provision for losses on accounts and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1,472</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Unrealized and realized losses (gains) on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(17,713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7"/>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(26,515</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7"/>
              </w:rPr>
              <w:t>Inventories, prepaid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7"/>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69,373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7"/>
              </w:rPr>
              <w:t>Insurance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(5,163</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7"/>
              </w:rPr>
              <w:t>Operating lease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7"/>
              </w:rPr>
              <w:t>Advertising fund assets and liabilities, restricted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(52,731</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792,062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624,897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590,864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(105,396</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Sale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Proceeds from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(1,682</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(106,917</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Proceeds from issuance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14,898</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Repayments of long-term debt and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(1,149,528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(55,705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8,656</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(357,697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(329,557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(269,025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Tax payments for restricted stock upon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(5,410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Payments of common stock dividends and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(209,945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(169,772</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paid for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(752,093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5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(532,223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5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(476,358</w:t>
            </w:r>
          </w:p>
        </w:tc>
        <w:tc>
          <w:tcPr>
            <w:tcW w:w="6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Effect of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340</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Change in cash and cash equivalents, restricted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(28,439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59,291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7,929</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60,356</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Restricted 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191,289</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 included in advertising fund assets, restricted,</w:t>
              <w:br/>
              <w: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143,559</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Cash and cash equivalents, restricted cash and cash equivalents and cash </w:t>
              <w:br/>
              <w:t xml:space="preserve">   and cash equivalents included in advertising fund assets, restricted, </w:t>
              <w:br/>
              <w: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462,424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403,133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395,204</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114,098</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Restricted 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216,110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200,870</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 included in advertising fund assets, restricted,</w:t>
              <w:br/>
              <w: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88,165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Cash and cash equivalents, restricted cash and cash equivalents and cash </w:t>
              <w:br/>
              <w:t xml:space="preserve">   and cash equivalents included in advertising fund assets, restricted, </w:t>
              <w:br/>
              <w: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433,985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462,424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403,133</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The accompanying notes are an integral part of these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Domino’s Pizza,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 xml:space="preserve">(Tabular amounts in thousands, except percentages, share and per share amounts)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(1)</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Description of Business and Summary of Significant Accounting Policies</w:t>
      </w:r>
    </w:p>
    <w:p>
      <w:pPr>
        <w:pStyle w:val="TextBody"/>
        <w:bidi w:val="0"/>
        <w:jc w:val="left"/>
        <w:rPr>
          <w:rFonts w:ascii="Times New Roman" w:hAnsi="Times New Roman"/>
          <w:b/>
          <w:color w:val="000000"/>
          <w:sz w:val="20"/>
        </w:rPr>
      </w:pPr>
      <w:r>
        <w:rPr>
          <w:rFonts w:ascii="Times New Roman" w:hAnsi="Times New Roman"/>
          <w:b/>
          <w:color w:val="000000"/>
          <w:sz w:val="20"/>
        </w:rPr>
        <w:t>Description of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Domino’s Pizza, Inc. (“DPI”), a Delaware corporation, conducts its operations and derives substantially all of its income from operations and cash provided by operating activities through its wholly-owned subsidiary, Domino’s, Inc. (“Domino’s”) and Domino’s wholly-owned subsidiary, Domino’s Pizza LLC. DPI and its wholly-owned subsidiaries (collectively, the “Company”) are primarily engaged in the following business activities: (i) retail sales of food through Company-owned Domino’s Pizza stores; (ii) sales of food and other products to franchised Domino’s Pizza stores through Company-owned supply chain centers in the U.S. and Canada; (iii) receipt of royalties, advertising contributions and fees from U.S. Domino’s Pizza franchisees; and (iv) receipt of royalties and fees from international Domino’s Pizza franchisees.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Principles of Consolidation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accompanying consolidated financial statements include the accounts of DPI and its subsidiaries. All significant intercompany accounts and transactions have been eliminated.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Fiscal Year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fiscal year ends on the Sunday closest to December 31. The 2025 fiscal year ended on December 28, 2025, the 2024 fiscal year ended on December 29, 2024 and the 2023 fiscal year ended on December 31, 2023. The 2025, 2024 and 2023 fiscal years each consisted of fifty-two weeks.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equivalents consist of highly liquid investments with original maturities of three months or less at the date of purchase. These investments are carried at cost, which approximates fair value.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Restricted Cash and Cash Equivalents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Restricted cash and cash equivalents at December 28, 2025 included $165.8 million of restricted cash and cash equivalents held for future principal and interest payments and other working capital requirements of the Company’s asset-backed securitization structure, $50.1 million of restricted cash equivalents held in a three-month interest reserve as required by the related debt agreements and $0.2 million of other restricted cash. As of December 28, 2025, the Company also held $92.2 million of advertising fund restricted cash and cash equivalents, which can only be used for activities that promote the Domino’s Pizza brand.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Restricted cash and cash equivalents at December 29, 2024 included $144.0 million of restricted cash and cash equivalents held for future principal and interest payments and other working capital requirements of the Company’s asset-backed securitization structure, $51.2 million of restricted cash equivalents held in a three-month interest reserve as required by the related debt agreements and $0.2 million of other restricted cash. As of December 29, 2024, the Company also held $80.9 million of advertising fund restricted cash and cash equivalents, which can only be used for activities that promote the Domino’s Pizza brand.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Allowances for Credit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closely monitors accounts and notes receivable balances and estimates the allowance for credit losses. These estimates are based on historical collection experience and other factors, including those related to current market conditions and events. The Company’s allowances for accounts and notes receivable have not historically been material.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also monitors its off-balance sheet exposures under its letters of credit (Note 3), lease guarantees (Note 5) and surety bonds. Total conditional commitments under surety bonds were $25.1 million at December 28, 2025 and $11.8 million at December 29, 2024. None of these arrangements has had or is likely to have a material effect on the Company’s results of operations, financial condition, revenues, expenses or liquidity.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Inventories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Inventories include food and other products and are valued at the lower of cost (on a first-in, first-out basis) or net realizable value.</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Current and long-term other assets primarily include prepaid expenses such as insurance, taxes, deposits, notes receivable, software licenses, implementation costs for cloud-based computing arrangements, covenants not-to-compete and other intangible assets primarily arising from franchise acquisitions.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long-term assets included implementation costs for cloud-based computing arrangements (primarily related to certain enterprise systems and other infrastructure assets) of $16.2 million and $14.5 million, net of accumulated amortization of $14.5 million and $9.7 million as of December 28, 2025 and December 29, 2024, respectively. Amortization expense for implementation costs for cloud-based computing arrangements was $4.8 million, $3.5 million and $2.7 million in 2025, 2024 and 2023, respectively.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Property, Plant and Equipment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Additions to property, plant and equipment are recorded at cost. Repair and maintenance costs are expensed as incurred. Depreciation and amortization expense are recorded using the straight-line method over the estimated useful lives of the related assets.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Estimated useful lives are generally as follows (in years): </w:t>
      </w:r>
    </w:p>
    <w:p>
      <w:pPr>
        <w:pStyle w:val="TextBody"/>
        <w:bidi w:val="0"/>
        <w:jc w:val="left"/>
        <w:rPr/>
      </w:pPr>
      <w:r>
        <w:rPr/>
        <w:t> </w:t>
      </w:r>
    </w:p>
    <w:tbl>
      <w:tblPr>
        <w:tblW w:w="3778" w:type="dxa"/>
        <w:jc w:val="left"/>
        <w:tblInd w:w="0" w:type="dxa"/>
        <w:tblLayout w:type="fixed"/>
        <w:tblCellMar>
          <w:top w:w="28" w:type="dxa"/>
          <w:left w:w="28" w:type="dxa"/>
          <w:bottom w:w="28" w:type="dxa"/>
          <w:right w:w="28" w:type="dxa"/>
        </w:tblCellMar>
      </w:tblPr>
      <w:tblGrid>
        <w:gridCol w:w="2971"/>
        <w:gridCol w:w="146"/>
        <w:gridCol w:w="66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and other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 15</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 15</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and amortization expense on property, plant and equipment was $54.2 million, $55.8 million and $52.4 million in 2025, 2024 and 2023, respectively.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Impairments of Long-Lived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evaluates long-lived assets, including property, plant, equipment and finite-lived intangible assets, for impairment whenever events or changes in circumstances indicate that the carrying amount of the assets may not be recoverable. If the Company determines that the carrying amount of an asset (or asset group) may not be recoverable, the Company compares the net carrying value of the asset group to the undiscounted net cash flows to be generated from the use and eventual disposition of that asset group. For Company-owned stores, the Company performs this evaluation on an operating market basis, which the Company has determined to be the lowest level for which identifiable cash flows are largely independent of other cash flows. If the carrying amount of a long-lived asset exceeds the amount of the expected future undiscounted cash flows of that asset, the Company estimates the fair value of the assets. If the carrying amount of the asset exceeds the estimated fair value of the asset, an impairment loss is recognized, and the asset is written down to its estimated fair value. The Company did not record any impairment losses on long-lived assets in 2025, 2024 and 2023.</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Investments in Marketable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Investments in marketable securities consist of investments in various mutual funds made by eligible individuals as part of the Company’s deferred compensation plan (Note 8). These investments are stated at aggregate fair value, are restricted and have been placed in a rabbi trust whereby the amounts are irrevocably set aside to fund the Company’s obligations under the deferred compensation plan. The Company classifies and accounts for these investments in marketable securities as trading securities.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Goodwill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goodwill amounts primarily relate to franchise store acquisitions. The Company performs its required impairment tests in the fourth quarter of each fiscal year and did not recognize any goodwill impairment charges in 2025, 2024 and 2023.</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Capitalized Software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Capitalized software is recorded at cost and includes purchased, internally-developed and externally-developed software used in the Company’s operations. Amortization expense is provided using the straight-line method over the estimated useful lives of the software, which range from one to fifteen years. Customer-facing software is typically amortized over a shorter useful life, while back office and corporate systems may have a longer useful life. Capitalized software and other intangible asset amortization expense was $34.6 million, $31.9 million and $28.2 million in 2025, 2024 and 2023,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28, 2025, scheduled amortization for capitalized software that had been placed in service as of December 28, 2025 is as follows in the table below. As of December 28, 2025, the Company also had $32.7 million of capitalized software that had not yet been placed in service. </w:t>
      </w:r>
    </w:p>
    <w:p>
      <w:pPr>
        <w:pStyle w:val="TextBody"/>
        <w:bidi w:val="0"/>
        <w:jc w:val="left"/>
        <w:rPr/>
      </w:pPr>
      <w:r>
        <w:rPr/>
        <w:t> </w:t>
      </w:r>
    </w:p>
    <w:tbl>
      <w:tblPr>
        <w:tblW w:w="2275" w:type="dxa"/>
        <w:jc w:val="left"/>
        <w:tblInd w:w="0" w:type="dxa"/>
        <w:tblLayout w:type="fixed"/>
        <w:tblCellMar>
          <w:top w:w="28" w:type="dxa"/>
          <w:left w:w="28" w:type="dxa"/>
          <w:bottom w:w="28" w:type="dxa"/>
          <w:right w:w="28" w:type="dxa"/>
        </w:tblCellMar>
      </w:tblPr>
      <w:tblGrid>
        <w:gridCol w:w="946"/>
        <w:gridCol w:w="146"/>
        <w:gridCol w:w="211"/>
        <w:gridCol w:w="78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Investment in DPC Dash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holds a non-controlling interest in DPC Dash Ltd (“DPC Dash”), the Company’s master franchisee in China that owns and operates Domino’s Pizza stores in that market. DPC Dash is listed on the Hong Kong Exchange (HK: 1405) and the Company accounts for its investment as a trading security and records it at fair value at the end of each reporting period, with gains and losses recorded in other income or expense in its consolidated statements of income. Refer to Note 4 for fair value disclosures related to the Company’s investment in DPC Dash.</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Debt Issuance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Debt issuance costs are recorded as a reduction to the Company’s debt balance and primarily include the expenses incurred by the Company as part of the 2025, 2021, 2019, 2018, and 2017 recapitalization and refinancing transactions (Note 3). Amortization is recorded on a straight-line basis (which is materially consistent with the effective interest method) over the expected terms of the respective debt instrument to which the costs relate and is included in interest expense. Debt issuance cost amortization expense was $5.7 million, $5.3 million and $5.5 million in 2025, 2024 and 2023, respectively.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Insurance Reserves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retention programs for workers’ compensation, general liability and owned and non-owned automobile liabilities for certain periods prior to December 1998 and for periods after December 2001. The Company is generally responsible for up to $1.0 million per occurrence under these retention programs for workers’ compensation and up to $2.0 million per occurrence under these retention programs for general liability, depending on policy year and line of coverage. The Company is also generally responsible for between $2.0 million and $5.5 million per occurrence under these retention programs for owned and non-owned automobile liabilities depending on the year. Total insurance limits under these retention programs vary depending on the year covered and range up to $112.5 million per occurrence for general liability and owned and non-owned automobile liabilities and up to the applicable statutory limits for workers’ compensation.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Casualty insurance reserves relating to the Company's retention programs are based on undiscounted actuarial estimates. These estimates are based on historical information and on certain assumptions about future events. Changes in assumptions for such factors as medical costs and legal actions, as well as changes in actual experience, could cause these estimates to change in the near term. The Company generally receives estimates of outstanding casualty insurance exposures from its independent actuary twice per year and differences between these estimated actuarial exposures and the Company’s recorded amounts are adjusted accordingly. The Company had reserves for these programs of $51.2 million and $50.7 million as of December 28, 2025 and December 29, 2024, respectively.</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the Company maintains reserves for its share of employee health costs as part of the health care benefits offered to its employees. Reserves are based on undiscounted actuarial estimates based on underlying claims, including estimated claims incurred that have not yet been paid.</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Contract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Contract liabilities consist primarily of deferred franchise fees and deferred development fees. Deferred franchise fees and deferred development fees of $4.8 million and $5.1 million were included in current other accrued liabilities as of December 28, 2025 and December 29, 2024, respectively. Deferred franchise fees and deferred development fees of $12.5 million and $15.8 million were included in long-term other accrued liabilities as of December 28, 2025 and December 29, 2024,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Changes in deferred franchise fees and deferred development fees in 2025 and 2024 were as follows:</w:t>
      </w:r>
    </w:p>
    <w:p>
      <w:pPr>
        <w:pStyle w:val="TextBody"/>
        <w:bidi w:val="0"/>
        <w:jc w:val="left"/>
        <w:rPr/>
      </w:pPr>
      <w:r>
        <w:rPr/>
        <w:t> </w:t>
      </w:r>
    </w:p>
    <w:tbl>
      <w:tblPr>
        <w:tblW w:w="9003" w:type="dxa"/>
        <w:jc w:val="left"/>
        <w:tblInd w:w="0" w:type="dxa"/>
        <w:tblLayout w:type="fixed"/>
        <w:tblCellMar>
          <w:top w:w="28" w:type="dxa"/>
          <w:left w:w="28" w:type="dxa"/>
          <w:bottom w:w="28" w:type="dxa"/>
          <w:right w:w="28" w:type="dxa"/>
        </w:tblCellMar>
      </w:tblPr>
      <w:tblGrid>
        <w:gridCol w:w="6181"/>
        <w:gridCol w:w="109"/>
        <w:gridCol w:w="260"/>
        <w:gridCol w:w="835"/>
        <w:gridCol w:w="166"/>
        <w:gridCol w:w="146"/>
        <w:gridCol w:w="260"/>
        <w:gridCol w:w="835"/>
        <w:gridCol w:w="211"/>
      </w:tblGrid>
      <w:tr>
        <w:trPr/>
        <w:tc>
          <w:tcPr>
            <w:tcW w:w="6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29,</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franchise fees and deferred development fees, beginning of period</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 during the period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deferrals due to cash received and other</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franchise fees and deferred development fees, end of period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expects to recognize revenue associated with deferred franchise fees and deferred development fees as follows in the table below. The Company has applied the sales-based royalty exemption which permits exclusion of variable consideration in the form of sales-based royalties from the disclosure of remaining performance obligations. </w:t>
      </w:r>
    </w:p>
    <w:p>
      <w:pPr>
        <w:pStyle w:val="TextBody"/>
        <w:bidi w:val="0"/>
        <w:jc w:val="left"/>
        <w:rPr/>
      </w:pPr>
      <w:r>
        <w:rPr/>
        <w:t> </w:t>
      </w:r>
    </w:p>
    <w:tbl>
      <w:tblPr>
        <w:tblW w:w="2170" w:type="dxa"/>
        <w:jc w:val="left"/>
        <w:tblInd w:w="0" w:type="dxa"/>
        <w:tblLayout w:type="fixed"/>
        <w:tblCellMar>
          <w:top w:w="28" w:type="dxa"/>
          <w:left w:w="28" w:type="dxa"/>
          <w:bottom w:w="28" w:type="dxa"/>
          <w:right w:w="28" w:type="dxa"/>
        </w:tblCellMar>
      </w:tblPr>
      <w:tblGrid>
        <w:gridCol w:w="946"/>
        <w:gridCol w:w="146"/>
        <w:gridCol w:w="211"/>
        <w:gridCol w:w="676"/>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 Accrued Liabilities</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Current and long-term other accrued liabilities primarily include accruals for income, sales, property and other taxes, legal reserves, operating expenses, dividends payable, deferred compensation, unredeemed gift cards and contract liabilities. The Company had $44.3 million and $42.6 million included in other current accrued liabilities related to unredeemed gift cards as of December 28, 2025 and December 29, 2024, respectively. </w:t>
      </w:r>
    </w:p>
    <w:p>
      <w:pPr>
        <w:pStyle w:val="TextBody"/>
        <w:bidi w:val="0"/>
        <w:jc w:val="left"/>
        <w:rPr>
          <w:rFonts w:ascii="Times New Roman" w:hAnsi="Times New Roman"/>
          <w:b/>
          <w:color w:val="000000"/>
          <w:sz w:val="20"/>
        </w:rPr>
      </w:pPr>
      <w:r>
        <w:rPr>
          <w:rFonts w:ascii="Times New Roman" w:hAnsi="Times New Roman"/>
          <w:b/>
          <w:color w:val="000000"/>
          <w:sz w:val="20"/>
        </w:rPr>
        <w:t>Foreign Currency Translation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foreign entities use their local currency as the functional currency. For these entities, the Company translates net assets into U.S. dollars at year end exchange rates, while income and expense accounts are translated at average annual exchange rates. Currency translation adjustments are included in accumulated other comprehensive income (loss) and foreign currency transaction gains and losses are included in determining net income.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Company-owned stores revenues are comprised of retail sales of food through Company-owned Domino’s Pizza stores located in the U.S. and are recognized when the items are delivered to or carried out by customers. Customer payments are generally due at the time of sale. Sales taxes related to these sales are collected from customers and remitted to the appropriate taxing authority and are not reflected in the Company’s consolidated statements of income as revenue.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U.S. franchise royalties and fees are primarily comprised of royalties and fees from Domino’s Pizza franchisees with operations in the U.S. Each franchisee is generally required to pay a 5.5% royalty fee on sales. In certain instances, the Company will collect lower rates based on area development agreements, sales initiatives, store relocation incentives and new store incentives. Royalty revenues are based on a percentage of franchise retail sales and are recognized when the items are delivered to or carried out by franchisees’ customers. U.S. franchise fee revenue primarily relates to per-transaction technology fees that are recognized as the related sales occur and was $0.375 per digital transaction in fiscal 2025. Payments for U.S. royalties and fees are generally due within seven days of the prior week end date.</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Supply chain revenues are primarily comprised of sales of food and other products to franchised Domino’s Pizza stores located in the U.S. and Canada. Revenues from the sale of food are recognized upon delivery of the food to franchisees and payments for food purchases are generally due within 30 days of the shipping date. The Company also offers profit sharing rebates and volume discounts to its franchisees. Obligations for profit sharing rebates are calculated based on actual results of its supply chain centers and are recognized as a reduction to revenue. Volume discounts are based on annual sales. The Company estimates the amount that will be earned and records a reduction to revenue throughout the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International franchise royalties and fees are primarily comprised of royalties and fees from Domino’s Pizza franchisees outside of the U.S. Royalty revenues are recognized when the items are delivered to or carried out by franchisees’ customers. Royalty rates vary among international markets and may also differ based on certain incentives and concessions and averaged approximately 3.0% in 2025. Franchise fees received from international franchisees are recognized as revenue on a straight-line basis over the term of each respective franchise store agreement, which is typically ten years. Development fees received from international master franchisees are also deferred when amounts are received and are recognized as revenue on a straight-line basis over the term of the respective master franchise agreement, which is typically ten years. International franchise fee revenues primarily relate to per-transaction technology fees that are recognized as the related sales occur. International franchise royalties and fees are invoiced at least quarterly, and payments are generally due within 60 days.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franchise advertising revenues are comprised of contributions from Domino’s Pizza franchisees with operations in the U.S. to the Domino’s National Advertising Fund Inc. (“DNAF”), the Company’s consolidated not-for-profit subsidiary that administers the Domino’s Pizza system’s national and market level advertising activities in the U.S. Each franchisee is generally required to contribute 6.0% of their retail sales to fund national marketing and advertising campaigns (subject, in certain instances, to lower rates based on certain incentives and waivers). These revenues are recognized when items are delivered to or carried out by franchisees’ customers. Payments for U.S. franchise advertising revenues are generally due within seven days of the prior week end date. Although these revenues are restricted to be used only for advertising and promotional activities to benefit franchised stores, the Company has determined there are not performance obligations associated with the franchise advertising contributions received by DNAF that are separate from the U.S. royalty payment stream and as a result, these franchise contributions and the related expenses are presented gross in the Company’s consolidated statements of income.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Disaggregation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accounting standards require that companies disaggregate revenue from contracts with customers into categories that depict how the nature, amount, timing, and uncertainty of revenue and cash flows are affected by economic factors. The Company has included its revenues disaggregated in its consolidated statements of income to satisfy this requirement.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Supply Chain Profit-Sharing Arrangements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enters into profit-sharing arrangements with U.S. and Canadian franchisees that purchase all of their food from the Company’s supply chain centers. These profit-sharing arrangements generally offer Company-owned stores and participating franchisees 50% of the pre-tax profit from the Company’s supply chain center operations. Profit-sharing obligations are recorded as a reduction to supply chain revenues in the same period as the related revenues and costs are recorded, and were $193.0 million, $164.0 million and $138.7 million in 2025, 2024 and 2023, respectively.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Cost of Sales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Cost of sales consists primarily of U.S. Company-owned store and supply chain costs incurred to generate related revenues. Components of consolidated cost of sales primarily include food and labor costs, as well as other costs including delivery, occupancy costs (including rent, telephone, utilities and depreciation), insurance expense and other.</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 and Administrative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General and administrative expense consists primarily of labor cost (including variable performance-based compensation expense and non-cash equity-based compensation expense), depreciation and amortization, computer expenses, professional fees, travel and entertainment, rent, insurance expense and other corporate administrative costs.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Advertising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U.S. stores are generally required to contribute a percentage of retail sales to DNAF, as described in the revenue recognition section above. U.S. franchise advertising costs are accrued and expensed when the related U.S. franchise advertising revenues are recognized, as DNAF is obligated to expend such revenues on advertising and other activities that promote the Domino’s brand. U.S. franchise advertising costs expended by DNAF are included in U.S. franchise advertising expenses in the Company’s consolidated statements of income. Advertising costs funded by Company-owned stores are generally expensed as incurred and are included in general and administrative expense. Contributions from Company-owned stores that have not yet been expended are included in advertising fund assets, restricted on the Company’s consolidated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Advertising expense included $559.5 million, $509.9 million and $473.2 million of U.S. franchise advertising expense in 2025, 2024 and 2023, respectively. Advertising expense also included $32.3 million, $33.4 million and $33.5 million in 2025, 2024 and 2023, respectively, primarily related to advertising costs funded by U.S. Company-owned stores and other general marketing expenses which are included in general and administrative expense in the consolidated statements of income.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28, 2025, advertising fund assets, restricted of $117.5 million consisted of $92.2 million of cash and cash equivalents, $18.4 million of accounts receivable and $6.9 million of prepaid expenses. As of December 28, 2025, advertising fund cash and cash equivalents included $2.1 million of cash contributed from U.S. Company-owned stores that had not yet been expended.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29, 2024, advertising fund assets, restricted of $103.4 million consisted of $80.9 million of cash and cash equivalents, $14.3 million of accounts receivable and $8.2 million of prepaid expenses. As of December 29, 2024, advertising fund cash and cash equivalents included $1.8 million of cash contributed from U.S. Company-owned stores that had not yet been expended.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Leases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leases certain retail store and supply chain center locations, vehicles, equipment and its corporate headquarters. The Company determines whether an arrangement is or contains a lease at contract inception. The majority of the Company’s leases are classified as operating leases, which are included in operating lease right-of-use assets and operating lease liabilities in the Company’s consolidated balance sheets. Finance leases are included in property, plant and equipment, current portion of long-term debt and long-term debt on the Company’s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Right-of-use assets and lease liabilities are recognized based on the present value of the future minimum lease payments over the lease term at the commencement date for leases exceeding 12 months. Minimum lease payments include only the fixed lease component of the agreement, as well as any variable rate payments that depend on an index, initially measured using the index at the lease commencement date. Lease terms may include options to renew when it is reasonably certain that the Company will exercise that option.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estimates its incremental borrowing rate for each lease using a portfolio approach based on the respective weighted average term of the agreements. This estimation considers the market rates of the Company’s outstanding collateralized borrowings and interpolations of rates outside of the terms of the outstanding borrowings, including comparisons to comparable borrowings of similarly rated companies with longer term borrowings.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 expense is recognized on a straight-line basis over the lease term and is included in cost of sales or general and administrative expense. Amortization expense for finance leases is recognized on a straight-line basis over the lease term and is included in cost of sales or general and administrative expense. Interest expense for finance leases is recognized using the effective interest method. Variable lease payments that do not depend on a rate or index, payments associated with non-lease components and short-term rentals (leases with terms less than 12 months) are expensed as incurred.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Common Stock Dividends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declared dividends of $237.3 million (or $6.96 per share) in 2025, $210.7 million (or $6.04 per share) in 2024 and $170.4 million (or $4.84 per share) in 2023. The Company paid dividends of $236.9 million, $209.9 million, and $169.8 million in 2025, 2024 and 2023, respectively.</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Subsequent to the end of fiscal 2025, </w:t>
      </w:r>
      <w:r>
        <w:rPr>
          <w:rFonts w:ascii="Arial" w:hAnsi="Arial"/>
          <w:color w:val="000000"/>
          <w:sz w:val="20"/>
        </w:rPr>
        <w:t>o</w:t>
      </w:r>
      <w:r>
        <w:rPr>
          <w:rFonts w:ascii="Times New Roman" w:hAnsi="Times New Roman"/>
          <w:color w:val="000000"/>
          <w:sz w:val="20"/>
        </w:rPr>
        <w:t>n February 18, 2026, the Company’s Board of Directors declared a quarterly dividend of $1.99 per common share payable on March 30, 2026 to shareholders of record at the close of business on March 13, 2026.</w:t>
      </w:r>
    </w:p>
    <w:p>
      <w:pPr>
        <w:pStyle w:val="TextBody"/>
        <w:bidi w:val="0"/>
        <w:jc w:val="left"/>
        <w:rPr>
          <w:rFonts w:ascii="Times New Roman" w:hAnsi="Times New Roman"/>
          <w:b/>
          <w:color w:val="000000"/>
          <w:sz w:val="20"/>
        </w:rPr>
      </w:pPr>
      <w:r>
        <w:rPr>
          <w:rFonts w:ascii="Times New Roman" w:hAnsi="Times New Roman"/>
          <w:b/>
          <w:color w:val="000000"/>
          <w:sz w:val="20"/>
        </w:rPr>
        <w:t>Stock Options and Other Equity-Based Compensation Arrangements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cost of all of the Company’s stock options, as well as other equity-based compensation arrangements, is reflected in the consolidated financial statements based on the estimated fair value of the awards (Note 9).</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Earnings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discloses two calculations of earnings per share (“EPS”): basic EPS and diluted EPS (Note 2). The numerator in calculating common stock basic and diluted EPS is consolidated net income. The denominator in calculating common stock basic EPS is the weighted average shares outstanding. The denominator in calculating common stock diluted EPS includes the additional dilutive effect of outstanding stock options, unvested restricted stock units and unvested performance-based restricted stock units.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Supplemental Disclosures of Cash Flow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payments for interest and income taxes in 2025, 2024 and 2023 were as follows:</w:t>
      </w:r>
    </w:p>
    <w:p>
      <w:pPr>
        <w:pStyle w:val="TextBody"/>
        <w:bidi w:val="0"/>
        <w:jc w:val="left"/>
        <w:rPr/>
      </w:pPr>
      <w:r>
        <w:rPr/>
        <w:t> </w:t>
      </w:r>
    </w:p>
    <w:tbl>
      <w:tblPr>
        <w:tblW w:w="7508" w:type="dxa"/>
        <w:jc w:val="left"/>
        <w:tblInd w:w="0" w:type="dxa"/>
        <w:tblLayout w:type="fixed"/>
        <w:tblCellMar>
          <w:top w:w="28" w:type="dxa"/>
          <w:left w:w="28" w:type="dxa"/>
          <w:bottom w:w="28" w:type="dxa"/>
          <w:right w:w="28" w:type="dxa"/>
        </w:tblCellMar>
      </w:tblPr>
      <w:tblGrid>
        <w:gridCol w:w="3511"/>
        <w:gridCol w:w="146"/>
        <w:gridCol w:w="211"/>
        <w:gridCol w:w="781"/>
        <w:gridCol w:w="146"/>
        <w:gridCol w:w="146"/>
        <w:gridCol w:w="211"/>
        <w:gridCol w:w="781"/>
        <w:gridCol w:w="146"/>
        <w:gridCol w:w="146"/>
        <w:gridCol w:w="211"/>
        <w:gridCol w:w="781"/>
        <w:gridCol w:w="2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 on Notes (Note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186,810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 net of refunds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89,017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Aggregated state and local jurisdictions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136,290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non-cash investing activities related to accruals for capital expenditures of $2.4 million, $3.1 million and $6.7 million at December 28, 2025, December 29, 2024 and December 31, 2023, respectively. The Company had non-cash financing activities related to accruals for excise taxes on share repurchases of $3.3 million, $3.0 million and $2.6 million at December 28, 2025, December 29, 2024 and December 31, 2023, respectively. The Company paid $3.0 million and $2.6 million in excise taxes on share repurchases in 2025 and 2024, respectively.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New Accounting Pronouncements</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Recently Adopted Accounting Standards</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has considered all new accounting standards issued by the Financial Accounting Standards Board (“FASB”) and adopted the following accounting standard.</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Accounting Standards Update (“ASU”) 2023-09, Income Taxes (Topic 740): Improvements to Income Tax Disclosures</w:t>
      </w:r>
    </w:p>
    <w:p>
      <w:pPr>
        <w:pStyle w:val="TextBody"/>
        <w:bidi w:val="0"/>
        <w:jc w:val="left"/>
        <w:rPr>
          <w:rFonts w:ascii="Times New Roman" w:hAnsi="Times New Roman"/>
          <w:sz w:val="20"/>
        </w:rPr>
      </w:pPr>
      <w:r>
        <w:rPr>
          <w:rFonts w:ascii="Times New Roman" w:hAnsi="Times New Roman"/>
          <w:color w:val="000000"/>
          <w:sz w:val="20"/>
        </w:rPr>
        <w:t xml:space="preserve">In December 2023, the FASB issued </w:t>
      </w:r>
      <w:r>
        <w:rPr>
          <w:rFonts w:ascii="Times New Roman" w:hAnsi="Times New Roman"/>
          <w:i/>
          <w:color w:val="000000"/>
          <w:sz w:val="20"/>
        </w:rPr>
        <w:t>ASU 2023-09, Income Taxes (Topic 740): Improvements to Income Tax Disclosures (“ASU 2023-09”)</w:t>
      </w:r>
      <w:r>
        <w:rPr>
          <w:rFonts w:ascii="Times New Roman" w:hAnsi="Times New Roman"/>
          <w:color w:val="000000"/>
          <w:sz w:val="20"/>
        </w:rPr>
        <w:t>, which requires disclosure on an annual basis, a tabular reconciliation, including both amount and percentage of specific categories of the effective tax rate reconciliation, including state and local income taxes (net of Federal taxes), foreign taxes, effects of changes in tax laws, regulations or rates enacted in the current period, effects of cross-border tax laws, tax credits, changes in valuation allowances, nontaxable and nondeductible items and changes in unrecognized tax benefits. Additional disclosures are required for certain items exceeding five percent of pre-tax income from continuing operations multiplied by the statutory income tax rate. The standard also requires disclosure of income taxes paid, net of refunds received, between Federal, state and foreign jurisdictions, including further disaggregation of those payments exceeding five percent of the total income taxes paid.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On December 28, 2025, the end of the 2025 fiscal year, the Company adopted </w:t>
      </w:r>
      <w:r>
        <w:rPr>
          <w:rFonts w:ascii="Times New Roman" w:hAnsi="Times New Roman"/>
          <w:i/>
          <w:color w:val="000000"/>
          <w:sz w:val="20"/>
        </w:rPr>
        <w:t xml:space="preserve">ASU 2023-09 </w:t>
      </w:r>
      <w:r>
        <w:rPr>
          <w:rFonts w:ascii="Times New Roman" w:hAnsi="Times New Roman"/>
          <w:color w:val="000000"/>
          <w:sz w:val="20"/>
        </w:rPr>
        <w:t xml:space="preserve">and included the relevant rate reconciliation disclosures within Note 7, </w:t>
      </w:r>
      <w:r>
        <w:rPr>
          <w:rFonts w:ascii="Times New Roman" w:hAnsi="Times New Roman"/>
          <w:i/>
          <w:color w:val="000000"/>
          <w:sz w:val="20"/>
        </w:rPr>
        <w:t>Income Taxes</w:t>
      </w:r>
      <w:r>
        <w:rPr>
          <w:rFonts w:ascii="Times New Roman" w:hAnsi="Times New Roman"/>
          <w:color w:val="000000"/>
          <w:sz w:val="20"/>
        </w:rPr>
        <w:t>, and included the relevant disclosures of income taxes paid in the table above</w:t>
      </w:r>
      <w:r>
        <w:rPr>
          <w:rFonts w:ascii="Times New Roman" w:hAnsi="Times New Roman"/>
          <w:i/>
          <w:color w:val="000000"/>
          <w:sz w:val="20"/>
        </w:rPr>
        <w:t xml:space="preserve">. </w:t>
      </w:r>
      <w:r>
        <w:rPr>
          <w:rFonts w:ascii="Times New Roman" w:hAnsi="Times New Roman"/>
          <w:color w:val="000000"/>
          <w:sz w:val="20"/>
        </w:rPr>
        <w:t>The Company has presented the disclosures on a retrospective basis for all periods presented in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Accounting Standards Not Yet Adopted</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has considered all new accounting standards issued by the FASB. The Company has not yet adopted the following standards:</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ASU 2024-03, Income Statement – Reporting Comprehensive Income </w:t>
      </w:r>
      <w:r>
        <w:rPr>
          <w:rFonts w:ascii="Times New Roman" w:hAnsi="Times New Roman"/>
          <w:color w:val="000000"/>
          <w:sz w:val="20"/>
        </w:rPr>
        <w:t xml:space="preserve">– </w:t>
      </w:r>
      <w:r>
        <w:rPr>
          <w:rFonts w:ascii="Times New Roman" w:hAnsi="Times New Roman"/>
          <w:i/>
          <w:color w:val="000000"/>
          <w:sz w:val="20"/>
        </w:rPr>
        <w:t>Expense Disaggregation Disclosures (Subtopic 220-40)</w:t>
      </w:r>
    </w:p>
    <w:p>
      <w:pPr>
        <w:pStyle w:val="TextBody"/>
        <w:bidi w:val="0"/>
        <w:jc w:val="left"/>
        <w:rPr>
          <w:rFonts w:ascii="Times New Roman" w:hAnsi="Times New Roman"/>
          <w:sz w:val="20"/>
        </w:rPr>
      </w:pPr>
      <w:r>
        <w:rPr>
          <w:rFonts w:ascii="Times New Roman" w:hAnsi="Times New Roman"/>
          <w:color w:val="000000"/>
          <w:sz w:val="20"/>
        </w:rPr>
        <w:t xml:space="preserve">In November 2024, the FASB issued </w:t>
      </w:r>
      <w:r>
        <w:rPr>
          <w:rFonts w:ascii="Times New Roman" w:hAnsi="Times New Roman"/>
          <w:i/>
          <w:color w:val="000000"/>
          <w:sz w:val="20"/>
        </w:rPr>
        <w:t>ASU 2024-03, Income Statement – Reporting Comprehensive Income – Expense Disaggregation Disclosures (Subtopic 220-40) (“ASU 2024-03”)</w:t>
      </w:r>
      <w:r>
        <w:rPr>
          <w:rFonts w:ascii="Times New Roman" w:hAnsi="Times New Roman"/>
          <w:color w:val="000000"/>
          <w:sz w:val="20"/>
        </w:rPr>
        <w:t xml:space="preserve">, which requires disclosure in the notes to the consolidated financial statements on an annual and interim basis, amounts of purchases of inventory, employee compensation, depreciation and intangible asset amortization for all expense captions presented on the face of the consolidated statements of income. The standard also requires a qualitative description of the amounts remaining in those expense captions that are not separately disaggregated. The standard also requires disclosure of the composition and amount of selling expenses.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ASU 2024-03 is effective for annual reporting fiscal years beginning after December 15, 2026 and interim periods within fiscal years beginning after December 15, 2027, and early adoption is permitted. The standard may be adopted either prospectively or retrospectively. The Company is currently evaluating the impact of this accounting standard on its consolidated financial statements.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ASU 2025-06, Intangibles—Goodwill and Other—Internal-Use Software (Subtopic 350-40): Targeted Improvements to the Accounting for Internal-Use Software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September 2025, the FASB issued </w:t>
      </w:r>
      <w:r>
        <w:rPr>
          <w:rFonts w:ascii="Times New Roman" w:hAnsi="Times New Roman"/>
          <w:i/>
          <w:color w:val="000000"/>
          <w:sz w:val="20"/>
        </w:rPr>
        <w:t>ASU 2025-06, Intangibles—Goodwill and Other—Internal-Use Software (Subtopic 350-40): Targeted Improvements to the Accounting for Internal-Use Software (“ASU 2025-06”),</w:t>
      </w:r>
      <w:r>
        <w:rPr>
          <w:rFonts w:ascii="Times New Roman" w:hAnsi="Times New Roman"/>
          <w:color w:val="000000"/>
          <w:sz w:val="20"/>
        </w:rPr>
        <w:t xml:space="preserve"> to modernize the accounting guidance for the costs to develop software for internal use. The standard applies to costs incurred to develop or obtain software for internal use. ASU 2025-06 amends the existing standard that refers to various stages of a software development project to align better with current software development methods, such as agile programming. Under the new standard, entities will commence capitalizing eligible costs when (i) management has authorized and committed to funding the software project, and (ii) it is probable that the project will be completed and the software will be used to perform the function intended. The new standard also supersedes the guidance related to costs incurred to develop a website.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ASU 2025-06 guidance is effective for annual periods beginning after December 15, 2027. The guidance can be applied on a prospective basis, a modified basis for in-process projects or on a retrospective basis. The Company is currently evaluating the impact of this accounting standard on its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Use of Estimates</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preparation of financial statements in conformity with accounting principles generally accepted in the U.S.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(2)</w:t>
      </w:r>
    </w:p>
    <w:p>
      <w:pPr>
        <w:pStyle w:val="TextBody"/>
        <w:bidi w:val="0"/>
        <w:spacing w:before="0" w:after="200"/>
        <w:jc w:val="left"/>
        <w:rPr/>
      </w:pPr>
      <w:r>
        <w:rPr>
          <w:rFonts w:ascii="Times New Roman" w:hAnsi="Times New Roman"/>
          <w:b/>
          <w:color w:val="000000"/>
          <w:sz w:val="20"/>
        </w:rPr>
        <w:t>Earnings per Share</w:t>
      </w:r>
      <w:r>
        <w:rPr>
          <w:color w:val="00000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computation of basic and diluted earnings per common share for 2025, 2024 and 2023 is as follows: </w:t>
      </w:r>
    </w:p>
    <w:p>
      <w:pPr>
        <w:pStyle w:val="TextBody"/>
        <w:bidi w:val="0"/>
        <w:jc w:val="left"/>
        <w:rPr/>
      </w:pPr>
      <w:r>
        <w:rPr/>
        <w:t> </w:t>
      </w:r>
    </w:p>
    <w:tbl>
      <w:tblPr>
        <w:tblW w:w="10138" w:type="dxa"/>
        <w:jc w:val="left"/>
        <w:tblInd w:w="0" w:type="dxa"/>
        <w:tblLayout w:type="fixed"/>
        <w:tblCellMar>
          <w:top w:w="28" w:type="dxa"/>
          <w:left w:w="28" w:type="dxa"/>
          <w:bottom w:w="28" w:type="dxa"/>
          <w:right w:w="28" w:type="dxa"/>
        </w:tblCellMar>
      </w:tblPr>
      <w:tblGrid>
        <w:gridCol w:w="5476"/>
        <w:gridCol w:w="146"/>
        <w:gridCol w:w="211"/>
        <w:gridCol w:w="1036"/>
        <w:gridCol w:w="146"/>
        <w:gridCol w:w="146"/>
        <w:gridCol w:w="211"/>
        <w:gridCol w:w="1036"/>
        <w:gridCol w:w="146"/>
        <w:gridCol w:w="146"/>
        <w:gridCol w:w="211"/>
        <w:gridCol w:w="1036"/>
        <w:gridCol w:w="191"/>
      </w:tblGrid>
      <w:tr>
        <w:trPr/>
        <w:tc>
          <w:tcPr>
            <w:tcW w:w="5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available to common stockholders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584,170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519,118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34,007,071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34,707,298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35,081,779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common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number of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34,237,646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34,991,484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35,401,313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common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denominators used in calculating diluted earnings per share for common stock for 2025, 2024 and 2023 do not include the following because the effect of including these shares would be anti-dilutive or because the performance targets for these awards had not yet been met: </w:t>
      </w:r>
    </w:p>
    <w:p>
      <w:pPr>
        <w:pStyle w:val="TextBody"/>
        <w:bidi w:val="0"/>
        <w:jc w:val="left"/>
        <w:rPr/>
      </w:pPr>
      <w:r>
        <w:rPr/>
        <w:t> </w:t>
      </w:r>
    </w:p>
    <w:tbl>
      <w:tblPr>
        <w:tblW w:w="7768" w:type="dxa"/>
        <w:jc w:val="left"/>
        <w:tblInd w:w="0" w:type="dxa"/>
        <w:tblLayout w:type="fixed"/>
        <w:tblCellMar>
          <w:top w:w="28" w:type="dxa"/>
          <w:left w:w="28" w:type="dxa"/>
          <w:bottom w:w="28" w:type="dxa"/>
          <w:right w:w="28" w:type="dxa"/>
        </w:tblCellMar>
      </w:tblPr>
      <w:tblGrid>
        <w:gridCol w:w="4276"/>
        <w:gridCol w:w="146"/>
        <w:gridCol w:w="146"/>
        <w:gridCol w:w="676"/>
        <w:gridCol w:w="146"/>
        <w:gridCol w:w="146"/>
        <w:gridCol w:w="146"/>
        <w:gridCol w:w="676"/>
        <w:gridCol w:w="146"/>
        <w:gridCol w:w="146"/>
        <w:gridCol w:w="146"/>
        <w:gridCol w:w="781"/>
        <w:gridCol w:w="19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shares underlying stock-based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condition not met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(3)</w:t>
      </w:r>
    </w:p>
    <w:p>
      <w:pPr>
        <w:pStyle w:val="TextBody"/>
        <w:bidi w:val="0"/>
        <w:jc w:val="left"/>
        <w:rPr>
          <w:rFonts w:ascii="Times New Roman" w:hAnsi="Times New Roman"/>
          <w:b/>
          <w:color w:val="000000"/>
          <w:sz w:val="20"/>
        </w:rPr>
      </w:pPr>
      <w:r>
        <w:rPr>
          <w:rFonts w:ascii="Times New Roman" w:hAnsi="Times New Roman"/>
          <w:b/>
          <w:color w:val="000000"/>
          <w:sz w:val="20"/>
        </w:rPr>
        <w:t xml:space="preserve">Financing Arrangements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2025 Notes, 2021 Notes, 2019 Notes, 2018 9.25-Year Notes and 2017 Notes (each, as defined below) are collectively referred to as the “Notes.” The Company made payments of $1.14 billion, $12.9 million and $51.5 million in 2025, 2024 and 2023, respectively on its senior notes. </w:t>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2025 Refinancing</w:t>
      </w:r>
    </w:p>
    <w:p>
      <w:pPr>
        <w:pStyle w:val="TextBody"/>
        <w:bidi w:val="0"/>
        <w:jc w:val="left"/>
        <w:rPr>
          <w:rFonts w:ascii="Times New Roman" w:hAnsi="Times New Roman"/>
          <w:color w:val="000000"/>
          <w:sz w:val="20"/>
        </w:rPr>
      </w:pPr>
      <w:r>
        <w:rPr>
          <w:rFonts w:ascii="Times New Roman" w:hAnsi="Times New Roman"/>
          <w:color w:val="000000"/>
          <w:sz w:val="20"/>
        </w:rPr>
        <w:t>On September 5, 2025 (the “closing date”), the Company completed a refinancing transaction (the “2025 Refinancing”) in which certain of the Company’s subsidiaries issued new notes pursuant to an asset-backed securitization. The notes consist of $500.0 million Series 2025-1 4.930% Fixed Rate Senior Secured Notes, Class A-2-I with an anticipated repayment date of July 2030 (the “2025 Five-Year Notes”) and $500.0 million Series 2025-1 5.217% Fixed Rate Senior Secured Notes, Class A-2-II with an anticipated repayment date of July 2032 (the “2025 Seven-Year Notes,” and collectively with the 2025 Five-Year Notes, the “2025 Notes”) in an offering exempt from registration under the Securities Act of 1933, as amended. Gross proceeds from the issuance of the 2025 Notes were $1.00 billion.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proceeds from the issuance of the 2025 Notes, as well as $160.0 million of the Company’s unrestricted cash and cash equivalents, were used to (i) repay the remaining $742.0 million in outstanding principal under the Company’s 2015 Ten-Year Notes and the remaining $402.7 million in outstanding principal under the Company’s 2018 7.5-Year Notes, (ii) prefund a portion of the interest payable on the 2025 Notes and (iii) pay transaction fees and expenses. During 2025 and in connection with the issuance of the 2025 Refinancing and the issuance of the 2025 Variable Funding Notes, the Company capitalized $15.4 million of debt issuance costs, which are being amortized into interest expense over the five and seven-year expected terms of the 2025 Notes.</w:t>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2021 Recapitalization</w:t>
      </w:r>
    </w:p>
    <w:p>
      <w:pPr>
        <w:pStyle w:val="TextBody"/>
        <w:bidi w:val="0"/>
        <w:jc w:val="left"/>
        <w:rPr>
          <w:rFonts w:ascii="Times New Roman" w:hAnsi="Times New Roman"/>
          <w:color w:val="000000"/>
          <w:sz w:val="20"/>
        </w:rPr>
      </w:pPr>
      <w:r>
        <w:rPr>
          <w:rFonts w:ascii="Times New Roman" w:hAnsi="Times New Roman"/>
          <w:color w:val="000000"/>
          <w:sz w:val="20"/>
        </w:rPr>
        <w:t>On April 16, 2021, the Company completed a recapitalization transaction (the “2021 Recapitalization”) in which certain of the Company’s subsidiaries issued notes pursuant to an asset-backed securitization. The notes consist of $850.0 million Series 2021-1 2.662% Fixed Rate Senior Secured Notes, Class A-2-I with an anticipated term of 7.5 years (the “2021 7.5-Year Notes”) and $1.0 billion Series 2021-1 3.151% Fixed Rate Senior Secured Notes, Class A-2-II with an anticipated term of 10 years (the “2021 Ten-Year Notes”, and, collectively with the 2021 7.5-Year Notes, the “2021 Notes”). Gross proceeds from the issuance of the 2021 Notes were $1.85 billion.</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2019 Recapitalization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November 19, 2019, the Company completed a recapitalization transaction (the “2019 Recapitalization”) in which certain of the Company’s subsidiaries issued notes pursuant to an asset-backed securitization. The notes consist of $675.0 million Series 2019-1 3.668% Fixed Rate Senior Secured Notes, Class A-2 with an anticipated term of 10 years (the “2019 Notes”). Gross proceeds from the issuance of the 2019 Notes were $675.0 million.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2018 Recapitalization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24, 2018, the Company completed a recapitalization transaction (the “2018 Recapitalization”) in which certain of the Company’s subsidiaries issued notes pursuant to an asset-backed securitization. The notes consisted of $425.0 million Series 2018-1 4.116% Fixed Rate Senior Secured Notes, Class A-2-I with an anticipated term of 7.5 years (the “2018 7.5-Year Notes”), and $400.0 million Series 2018-1 4.328% Fixed Rate Senior Secured Notes, Class A-2-II with an anticipated term of 9.25 years (the “2018 9.25-Year Notes”). Gross proceeds from the issuance of the 2018 7.5-Year Notes and the 2018 9.25-Year Notes were $825.0 million. The 2018 7.5-Year Notes were repaid in connection with the 2025 Refinancing.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2017 Recapitalization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24, 2017, the Company completed a recapitalization transaction (the “2017 Recapitalization”) in which certain of the Company’s subsidiaries issued notes pursuant to an asset-backed securitization. The notes consisted of $300.0 million Series 2017-1 Floating Rate Senior Secured Notes, Class A-2-I with an anticipated term of five years (the “2017 Floating Rate Notes”), $600.0 million Series 2017-1 3.082% Fixed Rate Senior Secured Notes, Class A-2-II with an anticipated term of five years (the “2017 Five-Year Notes”) and $1.0 billion Series 2017-1 4.118% Fixed Rate Senior Secured Notes, Class A-2-III with an anticipated term of ten years (the “2017 Ten-Year Notes”). Gross proceeds from the issuance of the 2017 Floating Rate Notes, 2017 Five-Year Notes and 2017 Ten-Year Notes were $1.9 billion. The 2017 Floating Rate Notes and 2017 Five-Year Notes were repaid in connection with the 2021 Recapitalization.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Variable Funding Notes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Concurrent with the 2025 Refinancing, certain of the Company’s subsidiaries also issued a new variable funding note facility which allows for advances of up to $320.0 million of Series 2025-1 Variable Funding Senior Secured Notes, Class A-1 and certain other credit instruments, including letters of credit (the “2025 Variable Funding Notes”). The 2025 Variable Funding Notes were undrawn on the closing date. In connection with the issuance of the 2025 Variable Funding Notes, the Company’s previous $200.0 million Series 2021-1 and $120.0 million Series 2022-1 variable funding note facilities were canceled.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Interest on the 2025 Variable Funding Notes is payable at a rate equal to the Secured Overnight Financing Rate (“Term SOFR”) plus 150 basis points. The unused portion of the 2025 Variable Funding Notes is subject to a commitment fee of 50 basis points. It is anticipated that any amounts outstanding under the 2025 Variable Funding Notes will be repaid in full on or prior to July 2030, subject to two additional one-year extensions at the option of the Company, subject to certain conditions. Following the anticipated repayment date (and any extensions thereof), additional interest will accrue on the 2025 Variable Funding Notes equal to 5% per annum.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December 28, 2025, the Company had no outstanding borrowings and $263.6 million of available borrowing capacity under its 2025 Variable Funding Notes, net of letters of credit issued of $56.4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of December 29, 2024, the Company had no outstanding borrowings and $120.0 million of available borrowing capacity under its Series 2022-1 variable funding note facility. As of December 29, 2024, the Company had no outstanding borrowings and $143.6 million of available borrowing capacity under its $200.0 million Series 2021-1 variable funding note facility, net of letters of credit issued of $56.4 million. </w:t>
      </w:r>
    </w:p>
    <w:p>
      <w:pPr>
        <w:pStyle w:val="TextBody"/>
        <w:bidi w:val="0"/>
        <w:jc w:val="left"/>
        <w:rPr>
          <w:rFonts w:ascii="Times New Roman" w:hAnsi="Times New Roman"/>
          <w:b/>
          <w:color w:val="000000"/>
          <w:sz w:val="20"/>
        </w:rPr>
      </w:pPr>
      <w:r>
        <w:rPr>
          <w:rFonts w:ascii="Times New Roman" w:hAnsi="Times New Roman"/>
          <w:b/>
          <w:color w:val="000000"/>
          <w:sz w:val="20"/>
        </w:rPr>
        <w:t>2025 Notes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2025 Five-Year Notes have original remaining scheduled principal payments of $5.0 million in each of 2026 through 2029 and $480.0 million in 2030. The 2025 Seven-Year Notes have original remaining scheduled principal payments of $5.0 million in each of 2026 through 2031 and $470.0 million in 2032. Refer to the leverage ratio and debt classification disclosure below for additional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legal final maturity date of the 2025 Notes is July 2055, but it is anticipated that, unless earlier prepaid to the extent permitted under the related debt agreements, the 2025 Five-Year Notes will be repaid on or prior to the anticipated repayment date occurring in July 2030, and the 2025 Seven-Year Notes will be repaid on or prior to the anticipated repayment date occurring in July 2032. If the Company has not repaid or refinanced the 2025 Notes prior to the applicable anticipated repayment dates, additional interest of at least 5% per annum will accrue, as defined in the related agreements.</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2021 Notes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2021 7.5-Year Notes have original remaining scheduled principal payments of $8.5 million in each of 2026 and 2027 and $809.6 million in 2028. The 2021 Ten-Year Notes have original remaining scheduled principal payments of $10.0 million in each of 2026 through 2030 and $922.5 million in 2031. Refer to the leverage ratio and debt classification disclosure below for additional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legal final maturity date of the 2021 Notes is April 2051, but it is anticipated that, unless earlier prepaid to the extent permitted under the related debt agreements, the 2021 7.5-Year Notes will be repaid on or prior to the anticipated repayment date occurring in October 2028, and the 2021 Ten-Year Notes will be repaid on or prior to the anticipated repayment date occurring in April 2031. If the Company has not repaid or refinanced the 2021 Notes prior to the applicable anticipated repayment dates, additional interest of at least 5% per annum will accrue, as defined in the related agreements.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2019 Notes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2019 Notes have original remaining scheduled principal payments of $6.8 million in each of 2026 through 2028 and $627.8 million in 2029. Refer to the leverage ratio and debt classification disclosure below for additional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legal final maturity date of the 2019 Notes is October 2049, but it is anticipated that, unless earlier prepaid to the extent permitted under the related debt agreements, the 2019 Notes will be repaid on or prior to the anticipated repayment date occurring in October 2029. If the Company has not repaid or refinanced the 2019 Notes prior to the applicable anticipated repayment date, additional interest of at least 5% per annum will accrue, as defined in the related agreements.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2018 9.25-Year Notes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2018 9.25-Year Notes have original remaining scheduled principal payments of $4.0 million in 2026 and $375.0 million in 2027. Refer to the leverage ratio and debt classification disclosure below for additional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legal final maturity date of the 2018 9.25-Year Notes is July 2048, but it is anticipated that, unless earlier prepaid to the extent permitted under the related debt agreements, the 2018 9.25-Year Notes will be repaid on or prior to the anticipated repayment date occurring in July 2027. If the Company has not repaid or refinanced the 2018 9.25-Year Notes prior to the applicable anticipated repayment dates, additional interest of at least 5% per annum will accrue, as defined in the related agreements.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2017 Ten-Year Notes</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2017 Ten-Year Notes have original remaining scheduled principal payments of $10.0 million in 2026 and $930.0 million in 2027. Refer to the leverage ratio and debt classification disclosure below for additional information.</w:t>
      </w:r>
    </w:p>
    <w:p>
      <w:pPr>
        <w:pStyle w:val="TextBody"/>
        <w:bidi w:val="0"/>
        <w:jc w:val="left"/>
        <w:rPr>
          <w:rFonts w:ascii="Times New Roman" w:hAnsi="Times New Roman"/>
          <w:color w:val="000000"/>
          <w:sz w:val="20"/>
        </w:rPr>
      </w:pPr>
      <w:r>
        <w:rPr>
          <w:rFonts w:ascii="Times New Roman" w:hAnsi="Times New Roman"/>
          <w:color w:val="000000"/>
          <w:sz w:val="20"/>
        </w:rPr>
        <w:t>The legal final maturity date of the 2017 Ten-Year Notes is October 2047, but it is anticipated that, unless earlier prepaid to the extent permitted under the related debt agreements, the 2017 Ten-Year Notes will be repaid on or prior to the anticipated repayment date occurring in July 2027. If the Company has not repaid or refinanced the 2017 Ten-Year Notes prior to the applicable anticipated repayment dates, additional interest of at least 5% per annum will accrue, as defined in the related agreements.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Guarantees and Covenants of the Notes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Notes are guaranteed by certain subsidiaries of the Company and secured by an interest in certain assets of the Company as specified in the indenture governing the securitized debt, including franchise royalty income from all U.S. and international stores, U.S. supply chain income and intellectual property. The restrictions placed on the Company’s subsidiaries require that the Company’s principal and interest obligations have first priority and amounts are segregated weekly to ensure appropriate funds are reserved to pay the quarterly principal and interest amounts due. The amount of weekly cash flow that exceeds the required weekly principal and interest reserve is generally remitted to the Company in the form of a dividend. However, once the required obligations are satisfied, there are no further restrictions, including payment of dividends, on the cash flows of the subsidiaries. If the Company has not repaid or refinanced the respective note series prior to the applicable anticipated repayment dates, additional interest of at least 5% per annum will accrue, and the Company’s cash flows other than a weekly management fee to cover certain operating expenses would be directed to the repayment of the securitized debt.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Notes are subject to certain financial and non-financial covenants, including a debt service coverage ratio calculation. The covenant requires a minimum coverage ratio of 1.75x total debt service to Securitized Net Cash Flow, each as defined in the indenture governing the securitized debt. The covenants, among other things, may limit the ability of certain of the Company’s subsidiaries to declare dividends, make loans or advances or enter into transactions with affiliates. In the event that certain covenants are not met, the Notes may become partially or fully due and payable on an accelerated schedule. In addition, the Company may voluntarily prepay, in part or in full, the Notes at any time, subject to certain make-whole interest obligations.</w:t>
      </w:r>
    </w:p>
    <w:p>
      <w:pPr>
        <w:pStyle w:val="TextBody"/>
        <w:bidi w:val="0"/>
        <w:jc w:val="left"/>
        <w:rPr>
          <w:rFonts w:ascii="Times New Roman" w:hAnsi="Times New Roman"/>
          <w:b/>
          <w:color w:val="000000"/>
          <w:sz w:val="20"/>
        </w:rPr>
      </w:pPr>
      <w:r>
        <w:rPr>
          <w:rFonts w:ascii="Times New Roman" w:hAnsi="Times New Roman"/>
          <w:b/>
          <w:color w:val="000000"/>
          <w:sz w:val="20"/>
        </w:rPr>
        <w:t>Leverage Ratio and Debt Classification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While the Notes are outstanding, scheduled payments of principal and interest are required to be made on a quarterly basis. In accordance with the Company’s debt agreements, the payment of principal on the 2025 Notes may be suspended if either the Holdco Leverage Ratio or Senior Leverage Ratio is less than or equal to 5.5x total debt to either Consolidated Adjusted EBITDA or Securitized Net Cash Flow, each as defined in the indenture governing the securitized debt, and no catch-up provisions are applicable. In accordance with the Company’s debt agreements, the payment of principal on the 2021 Notes, 2019 Notes, 2018 9.25-Year Notes and 2017 Ten-Year Notes may be suspended if the Holdco Leverage Ratio is less than or equal to 5.0x total debt to Consolidated Adjusted EBITDA, each as defined in the indenture governing the securitized debt, and no catch-up provisions are applicable. As of the end of the fourth quarter of 2025 and the end of the fourth quarter of 2024, the Company satisfied the non-amortization tests for each respective series of notes, and accordingly, the outstanding principal amounts of the notes have been classified as long-term debt in the consolidated balance sheet as of December 28, 2025. As of December 29, 2024, current portion of long-term debt included the outstanding principal amounts under the 2015 Ten-Year Notes and the 2018 7.5-Year Notes for which the anticipated repayment date was October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Consolidated Long-Term Debt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December 28, 2025 and December 29, 2024, consolidated long-term debt consisted of the following: </w:t>
      </w:r>
    </w:p>
    <w:p>
      <w:pPr>
        <w:pStyle w:val="TextBody"/>
        <w:bidi w:val="0"/>
        <w:jc w:val="left"/>
        <w:rPr/>
      </w:pPr>
      <w:r>
        <w:rPr/>
        <w:t> </w:t>
      </w:r>
    </w:p>
    <w:tbl>
      <w:tblPr>
        <w:tblW w:w="7439" w:type="dxa"/>
        <w:jc w:val="left"/>
        <w:tblInd w:w="0" w:type="dxa"/>
        <w:tblLayout w:type="fixed"/>
        <w:tblCellMar>
          <w:top w:w="28" w:type="dxa"/>
          <w:left w:w="28" w:type="dxa"/>
          <w:bottom w:w="28" w:type="dxa"/>
          <w:right w:w="28" w:type="dxa"/>
        </w:tblCellMar>
      </w:tblPr>
      <w:tblGrid>
        <w:gridCol w:w="4426"/>
        <w:gridCol w:w="146"/>
        <w:gridCol w:w="211"/>
        <w:gridCol w:w="931"/>
        <w:gridCol w:w="166"/>
        <w:gridCol w:w="146"/>
        <w:gridCol w:w="211"/>
        <w:gridCol w:w="991"/>
        <w:gridCol w:w="21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29,</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2015 Ten-Year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2017 Ten-Year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2018 7.5-Year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2018 9.25-Year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2019 Ten-Year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7.5-Year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Ten-Year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Five-Year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Seven-Year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obligation from sale leaseback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 net of accumulated amortization</w:t>
              <w:br/>
              <w:t>   of $25.3 million in 2025 and $34.5 million in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4,975,338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(1,149,679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4,810,683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3,825,659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December 28, 2025, maturities of long-term debt, finance leases and other financing obligations were as follows below and reflect the total amounts due for each of the Notes on their respective anticipated repayment dates assuming the non-amortization tests for each respective series of notes continues to be satisfied.</w:t>
      </w:r>
    </w:p>
    <w:p>
      <w:pPr>
        <w:pStyle w:val="TextBody"/>
        <w:bidi w:val="0"/>
        <w:jc w:val="left"/>
        <w:rPr/>
      </w:pPr>
      <w:r>
        <w:rPr/>
        <w:t> </w:t>
      </w:r>
    </w:p>
    <w:tbl>
      <w:tblPr>
        <w:tblW w:w="2425" w:type="dxa"/>
        <w:jc w:val="left"/>
        <w:tblInd w:w="0" w:type="dxa"/>
        <w:tblLayout w:type="fixed"/>
        <w:tblCellMar>
          <w:top w:w="28" w:type="dxa"/>
          <w:left w:w="28" w:type="dxa"/>
          <w:bottom w:w="28" w:type="dxa"/>
          <w:right w:w="28" w:type="dxa"/>
        </w:tblCellMar>
      </w:tblPr>
      <w:tblGrid>
        <w:gridCol w:w="946"/>
        <w:gridCol w:w="146"/>
        <w:gridCol w:w="211"/>
        <w:gridCol w:w="93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1,324,384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831,218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652,958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505,337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1,522,798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4,842,826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(4)</w:t>
      </w:r>
    </w:p>
    <w:p>
      <w:pPr>
        <w:pStyle w:val="TextBody"/>
        <w:bidi w:val="0"/>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Quoted market prices in active markets for identical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Observable market-based inputs or unobservable inputs that are corroborated by market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Unobservable inputs that are not corroborated by market data.</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Fair Value of Cash Equivalents and Marketable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values of the Company’s cash equivalents and investments in marketable securities are based on quoted prices in active markets for identical assets.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Fair Value of Investments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holds a non-controlling interest in DPC Dash, the Company’s master franchisee in China that owns and operates Domino’s Pizza stores in that market. As of December 28, 2025 and December 29, 2024, the fair value of the Company’s investment in DPC Dash is based on the active exchange quoted price for the equity security (HK$71.90 per share as of December 28, 2025 and HK$79.25 per share as of December 29, 2024). The Company owned 3,901,019 and 8,101,019 ordinary shares as of December 28, 2025 and December 29, 2024, representing 3.0% and 6.2% of DPC Dash’s ordinary shares as of the respective dates. The Company sold 4,200,000 ordinary shares of its investment in DPC Dash in the second quarter of 2025 for net proceeds of $44.1 million. The Company sold 10,000,000 ordinary shares of its investment in DPC Dash in the fourth quarter of 2024 for net proceeds of $82.9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recorded a total net negative adjustment of $2.5 million in 2025, and total net positive adjustments to the net carrying amount of its investment in DPC Dash of $22.1 million and $17.7 million in 2024 and 2023, respectively, with the net realized and unrealized losses and gains recorded in other expense and other income in its consolidated statements of income.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carrying amounts and fair values of certain assets at December 28, 2025:</w:t>
      </w:r>
    </w:p>
    <w:p>
      <w:pPr>
        <w:pStyle w:val="TextBody"/>
        <w:bidi w:val="0"/>
        <w:jc w:val="left"/>
        <w:rPr/>
      </w:pPr>
      <w:r>
        <w:rPr/>
        <w:t> </w:t>
      </w:r>
    </w:p>
    <w:tbl>
      <w:tblPr>
        <w:tblW w:w="8193" w:type="dxa"/>
        <w:jc w:val="left"/>
        <w:tblInd w:w="0" w:type="dxa"/>
        <w:tblLayout w:type="fixed"/>
        <w:tblCellMar>
          <w:top w:w="28" w:type="dxa"/>
          <w:left w:w="28" w:type="dxa"/>
          <w:bottom w:w="28" w:type="dxa"/>
          <w:right w:w="28" w:type="dxa"/>
        </w:tblCellMar>
      </w:tblPr>
      <w:tblGrid>
        <w:gridCol w:w="3736"/>
        <w:gridCol w:w="146"/>
        <w:gridCol w:w="211"/>
        <w:gridCol w:w="781"/>
        <w:gridCol w:w="146"/>
        <w:gridCol w:w="146"/>
        <w:gridCol w:w="211"/>
        <w:gridCol w:w="781"/>
        <w:gridCol w:w="146"/>
        <w:gridCol w:w="146"/>
        <w:gridCol w:w="239"/>
        <w:gridCol w:w="391"/>
        <w:gridCol w:w="146"/>
        <w:gridCol w:w="146"/>
        <w:gridCol w:w="239"/>
        <w:gridCol w:w="391"/>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December 28,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Estimated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Advertising fund cash equivalents, restricted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DPC Dash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 summarizes the carrying amounts and fair values of certain assets at December 29, 2024: </w:t>
      </w:r>
    </w:p>
    <w:p>
      <w:pPr>
        <w:pStyle w:val="TextBody"/>
        <w:bidi w:val="0"/>
        <w:jc w:val="left"/>
        <w:rPr/>
      </w:pPr>
      <w:r>
        <w:rPr/>
        <w:t> </w:t>
      </w:r>
    </w:p>
    <w:tbl>
      <w:tblPr>
        <w:tblW w:w="8193" w:type="dxa"/>
        <w:jc w:val="left"/>
        <w:tblInd w:w="0" w:type="dxa"/>
        <w:tblLayout w:type="fixed"/>
        <w:tblCellMar>
          <w:top w:w="28" w:type="dxa"/>
          <w:left w:w="28" w:type="dxa"/>
          <w:bottom w:w="28" w:type="dxa"/>
          <w:right w:w="28" w:type="dxa"/>
        </w:tblCellMar>
      </w:tblPr>
      <w:tblGrid>
        <w:gridCol w:w="3736"/>
        <w:gridCol w:w="146"/>
        <w:gridCol w:w="211"/>
        <w:gridCol w:w="781"/>
        <w:gridCol w:w="146"/>
        <w:gridCol w:w="146"/>
        <w:gridCol w:w="211"/>
        <w:gridCol w:w="781"/>
        <w:gridCol w:w="146"/>
        <w:gridCol w:w="146"/>
        <w:gridCol w:w="239"/>
        <w:gridCol w:w="391"/>
        <w:gridCol w:w="146"/>
        <w:gridCol w:w="146"/>
        <w:gridCol w:w="239"/>
        <w:gridCol w:w="391"/>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December 29,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Estimated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Advertising fund cash equivalents, restricted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DPC Dash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Fair Value of Debt</w:t>
      </w:r>
    </w:p>
    <w:p>
      <w:pPr>
        <w:pStyle w:val="TextBody"/>
        <w:bidi w:val="0"/>
        <w:jc w:val="left"/>
        <w:rPr>
          <w:rFonts w:ascii="Times New Roman" w:hAnsi="Times New Roman"/>
          <w:color w:val="000000"/>
          <w:sz w:val="20"/>
        </w:rPr>
      </w:pPr>
      <w:r>
        <w:rPr>
          <w:rFonts w:ascii="Times New Roman" w:hAnsi="Times New Roman"/>
          <w:color w:val="000000"/>
          <w:sz w:val="20"/>
        </w:rPr>
        <w:t>The estimated fair values of the Company’s Notes (Note 3) are classified as Level 2 measurements, as the Company estimates the fair value amount by using available market information. The Company obtained quotes from two separate brokerage firms that are knowledgeable about the Company’s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noteholders could realize in a current market exchange. The use of different assumptions and/or estimation methodologies may have a material effect on the estimated fair values stated below.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Management estimated the approximate fair values of the Notes as follows:</w:t>
      </w:r>
    </w:p>
    <w:p>
      <w:pPr>
        <w:pStyle w:val="TextBody"/>
        <w:bidi w:val="0"/>
        <w:jc w:val="left"/>
        <w:rPr/>
      </w:pPr>
      <w:r>
        <w:rPr/>
        <w:t> </w:t>
      </w:r>
    </w:p>
    <w:tbl>
      <w:tblPr>
        <w:tblW w:w="7142" w:type="dxa"/>
        <w:jc w:val="left"/>
        <w:tblInd w:w="0" w:type="dxa"/>
        <w:tblLayout w:type="fixed"/>
        <w:tblCellMar>
          <w:top w:w="28" w:type="dxa"/>
          <w:left w:w="28" w:type="dxa"/>
          <w:bottom w:w="28" w:type="dxa"/>
          <w:right w:w="28" w:type="dxa"/>
        </w:tblCellMar>
      </w:tblPr>
      <w:tblGrid>
        <w:gridCol w:w="2026"/>
        <w:gridCol w:w="146"/>
        <w:gridCol w:w="211"/>
        <w:gridCol w:w="781"/>
        <w:gridCol w:w="146"/>
        <w:gridCol w:w="146"/>
        <w:gridCol w:w="146"/>
        <w:gridCol w:w="781"/>
        <w:gridCol w:w="146"/>
        <w:gridCol w:w="146"/>
        <w:gridCol w:w="211"/>
        <w:gridCol w:w="781"/>
        <w:gridCol w:w="146"/>
        <w:gridCol w:w="146"/>
        <w:gridCol w:w="211"/>
        <w:gridCol w:w="781"/>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29,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2015 Ten-Year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739,032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2017 Ten-Year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915,560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2018 7.5-Year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2018 9.25-Year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2019 Ten-Year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7.5-Year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750,576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Ten-Year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Five-Year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Seven-Year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had no outstanding borrowings under its variable funding notes at December 28, 2025 or December 29, 2024. </w:t>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w:t>
      </w:r>
    </w:p>
    <w:p>
      <w:pPr>
        <w:pStyle w:val="TextBody"/>
        <w:bidi w:val="0"/>
        <w:jc w:val="left"/>
        <w:rPr>
          <w:rFonts w:ascii="Times New Roman" w:hAnsi="Times New Roman"/>
          <w:b/>
          <w:color w:val="000000"/>
          <w:sz w:val="20"/>
        </w:rPr>
      </w:pPr>
      <w:r>
        <w:rPr>
          <w:rFonts w:ascii="Times New Roman" w:hAnsi="Times New Roman"/>
          <w:b/>
          <w:color w:val="000000"/>
          <w:sz w:val="20"/>
        </w:rPr>
        <w:t>Leases</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leases certain retail store and supply chain center locations, vehicles, equipment and its corporate headquarters with expiration dates through 2045.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components of operating and finance lease cost for 2025, 2024 and 2023 were as follows:</w:t>
      </w:r>
    </w:p>
    <w:tbl>
      <w:tblPr>
        <w:tblW w:w="7893" w:type="dxa"/>
        <w:jc w:val="left"/>
        <w:tblInd w:w="0" w:type="dxa"/>
        <w:tblLayout w:type="fixed"/>
        <w:tblCellMar>
          <w:top w:w="28" w:type="dxa"/>
          <w:left w:w="28" w:type="dxa"/>
          <w:bottom w:w="28" w:type="dxa"/>
          <w:right w:w="28" w:type="dxa"/>
        </w:tblCellMar>
      </w:tblPr>
      <w:tblGrid>
        <w:gridCol w:w="3111"/>
        <w:gridCol w:w="346"/>
        <w:gridCol w:w="211"/>
        <w:gridCol w:w="676"/>
        <w:gridCol w:w="346"/>
        <w:gridCol w:w="346"/>
        <w:gridCol w:w="211"/>
        <w:gridCol w:w="676"/>
        <w:gridCol w:w="346"/>
        <w:gridCol w:w="346"/>
        <w:gridCol w:w="211"/>
        <w:gridCol w:w="676"/>
        <w:gridCol w:w="391"/>
      </w:tblGrid>
      <w:tr>
        <w:trPr/>
        <w:tc>
          <w:tcPr>
            <w:tcW w:w="31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50,058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finance lease cost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9,058</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9,734</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Rent expense totaled $95.9 million, $91.2 million and $85.6 million in 2025, 2024 and 2023, respectively. Rent expense includes operating lease cost, as well as expense for non-lease components including common area maintenance, real estate taxes and insurance for the Company’s real estate leases. Rent expense also includes the variable rate per mile driven and fixed maintenance charges for the Company’s supply chain center tractors and trailers and expense for short-term rentals. Rent expense for certain short-term supply chain center tractor and trailer rentals was $6.5 million, $7.5 million and $5.4 million in 2025, 2024 and 2023, respectively. Variable rent expense and rent expense for other short-term leases were immaterial for 2025, 2024 and 2023.</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Supplemental balance sheet information related to the Company’s finance leases as of December 28, 2025 and December 29, 2024 was as follows:</w:t>
      </w:r>
    </w:p>
    <w:tbl>
      <w:tblPr>
        <w:tblW w:w="6950" w:type="dxa"/>
        <w:jc w:val="left"/>
        <w:tblInd w:w="0" w:type="dxa"/>
        <w:tblLayout w:type="fixed"/>
        <w:tblCellMar>
          <w:top w:w="28" w:type="dxa"/>
          <w:left w:w="28" w:type="dxa"/>
          <w:bottom w:w="28" w:type="dxa"/>
          <w:right w:w="28" w:type="dxa"/>
        </w:tblCellMar>
      </w:tblPr>
      <w:tblGrid>
        <w:gridCol w:w="3691"/>
        <w:gridCol w:w="346"/>
        <w:gridCol w:w="244"/>
        <w:gridCol w:w="851"/>
        <w:gridCol w:w="166"/>
        <w:gridCol w:w="146"/>
        <w:gridCol w:w="244"/>
        <w:gridCol w:w="851"/>
        <w:gridCol w:w="411"/>
      </w:tblGrid>
      <w:tr>
        <w:trPr/>
        <w:tc>
          <w:tcPr>
            <w:tcW w:w="3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29,</w:t>
              <w:b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and buildings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79,966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84,606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assets,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less current portion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61,163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principal payable on finance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66,058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As of December 28, 2025 and December 29, 2024, the weighted average remaining lease term and weighted average discount rate for the Company’s operating and finance leases were as follows:</w:t>
      </w:r>
    </w:p>
    <w:tbl>
      <w:tblPr>
        <w:tblW w:w="8301" w:type="dxa"/>
        <w:jc w:val="left"/>
        <w:tblInd w:w="0" w:type="dxa"/>
        <w:tblLayout w:type="fixed"/>
        <w:tblCellMar>
          <w:top w:w="28" w:type="dxa"/>
          <w:left w:w="28" w:type="dxa"/>
          <w:bottom w:w="28" w:type="dxa"/>
          <w:right w:w="28" w:type="dxa"/>
        </w:tblCellMar>
      </w:tblPr>
      <w:tblGrid>
        <w:gridCol w:w="3316"/>
        <w:gridCol w:w="146"/>
        <w:gridCol w:w="246"/>
        <w:gridCol w:w="610"/>
        <w:gridCol w:w="271"/>
        <w:gridCol w:w="146"/>
        <w:gridCol w:w="224"/>
        <w:gridCol w:w="556"/>
        <w:gridCol w:w="271"/>
        <w:gridCol w:w="146"/>
        <w:gridCol w:w="246"/>
        <w:gridCol w:w="610"/>
        <w:gridCol w:w="271"/>
        <w:gridCol w:w="146"/>
        <w:gridCol w:w="224"/>
        <w:gridCol w:w="556"/>
        <w:gridCol w:w="316"/>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Supplemental cash flow information related to leases for 2025, 2024 and 2023 was as follows:</w:t>
      </w:r>
    </w:p>
    <w:tbl>
      <w:tblPr>
        <w:tblW w:w="10205" w:type="dxa"/>
        <w:jc w:val="left"/>
        <w:tblInd w:w="0" w:type="dxa"/>
        <w:tblLayout w:type="fixed"/>
        <w:tblCellMar>
          <w:top w:w="28" w:type="dxa"/>
          <w:left w:w="28" w:type="dxa"/>
          <w:bottom w:w="28" w:type="dxa"/>
          <w:right w:w="28" w:type="dxa"/>
        </w:tblCellMar>
      </w:tblPr>
      <w:tblGrid>
        <w:gridCol w:w="5423"/>
        <w:gridCol w:w="346"/>
        <w:gridCol w:w="211"/>
        <w:gridCol w:w="676"/>
        <w:gridCol w:w="346"/>
        <w:gridCol w:w="346"/>
        <w:gridCol w:w="211"/>
        <w:gridCol w:w="676"/>
        <w:gridCol w:w="346"/>
        <w:gridCol w:w="346"/>
        <w:gridCol w:w="211"/>
        <w:gridCol w:w="676"/>
        <w:gridCol w:w="391"/>
      </w:tblGrid>
      <w:tr>
        <w:trPr/>
        <w:tc>
          <w:tcPr>
            <w:tcW w:w="54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4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50,636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w:t>
              <w:br/>
              <w:t>   financing obligation from sale leaseback:</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sale leaseback</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sale leaseback</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obtained in exchange for new lease obligations: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55,511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53,076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Maturities of lease liabilities as of December 28, 2025 were as follows:</w:t>
      </w:r>
    </w:p>
    <w:p>
      <w:pPr>
        <w:pStyle w:val="TextBody"/>
        <w:bidi w:val="0"/>
        <w:jc w:val="left"/>
        <w:rPr/>
      </w:pPr>
      <w:r>
        <w:rPr/>
        <w:t> </w:t>
      </w:r>
    </w:p>
    <w:tbl>
      <w:tblPr>
        <w:tblW w:w="6164" w:type="dxa"/>
        <w:jc w:val="left"/>
        <w:tblInd w:w="0" w:type="dxa"/>
        <w:tblLayout w:type="fixed"/>
        <w:tblCellMar>
          <w:top w:w="28" w:type="dxa"/>
          <w:left w:w="28" w:type="dxa"/>
          <w:bottom w:w="28" w:type="dxa"/>
          <w:right w:w="28" w:type="dxa"/>
        </w:tblCellMar>
      </w:tblPr>
      <w:tblGrid>
        <w:gridCol w:w="3556"/>
        <w:gridCol w:w="146"/>
        <w:gridCol w:w="211"/>
        <w:gridCol w:w="781"/>
        <w:gridCol w:w="166"/>
        <w:gridCol w:w="146"/>
        <w:gridCol w:w="211"/>
        <w:gridCol w:w="736"/>
        <w:gridCol w:w="21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rental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amounts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the fourth quarter of 2023, a subsidiary of the Company entered into a purchase and sale agreement with a developer to sell one of the Company’s owned supply chain center buildings and the associated land for $14.9 million. Concurrently, a separate subsidiary of the Company entered into a lease agreement with the developer to construct a new supply chain center which includes both the existing building as well as an adjoined new construction on the adjacent properties owned by the developer.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leaseback of the Company’s building on a standalone basis for the construction period plus the 20-year term using the discount rate implicit in the lease resulted in a finance lease classification, and therefore, the transaction was accounted for as a failed sale leaseback. The Company retained the existing land and buildings on its consolidated balance sheet which are included in property, plant and equipment and the Company continues to depreciate the building as if it owned it. The $14.9 million cash proceeds from the transaction was recorded as a financing obligation and is being amortized over the term of the financing agreement. As of December 28, 2025, $0.1 million is classified as current portion of long-term debt and $14.6 million is classified as long-term debt in the Company’s consolidated balance sheet. As of December 29, 2024, $0.1 million is classified as current portion of long-term debt and $14.7 million is classified as long-term debt in the Company’s consolidated balance sheet. The $119.5 million of future minimum rent payments associated with the new construction on a standalone basis is included in the disclosure for material leases not yet commenced, below.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December 28, 2025, in addition to the lease for the new supply chain construction on a standalone basis discussed above, the Company also had additional leases for certain supply chain real estate and certain supply chain vehicles that had not yet commenced. The total estimated future minimum rental commitments for all of these arrangements is $161.6 million. These leases are expected to commence in 2026 with lease terms of up to 20 years. These undiscounted amounts are not included in the table above.</w:t>
      </w:r>
    </w:p>
    <w:p>
      <w:pPr>
        <w:pStyle w:val="TextBody"/>
        <w:bidi w:val="0"/>
        <w:jc w:val="left"/>
        <w:rPr>
          <w:rFonts w:ascii="Times New Roman" w:hAnsi="Times New Roman"/>
          <w:color w:val="000000"/>
          <w:sz w:val="20"/>
        </w:rPr>
      </w:pPr>
      <w:r>
        <w:rPr>
          <w:rFonts w:ascii="Times New Roman" w:hAnsi="Times New Roman"/>
          <w:color w:val="000000"/>
          <w:sz w:val="20"/>
        </w:rPr>
        <w:t>The Company has guaranteed lease payments related to certain franchisees’ lease arrangements. The maximum amount of potential future payments under these guarantees was $12.6 million and $12.8 million as of December 28, 2025 and December 29, 2024, respectively. The Company does not believe these arrangements have or are likely to have a material effect on its results of operations, financial condition, revenues or expenses, capital expenditures or liquidity.</w:t>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(6)</w:t>
      </w:r>
    </w:p>
    <w:p>
      <w:pPr>
        <w:pStyle w:val="TextBody"/>
        <w:bidi w:val="0"/>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a party to lawsuits, revenue agent reviews by taxing authorities and legal proceedings, of which the majority involve workers’ compensation, employment practices liability, general liability and automobile and franchisee claims arising in the ordinary course of business. The Company records legal fees associated with loss contingencies when they are probable and reasonably estimable. Litigation is subject to many uncertainties, and the outcome of individual litigated matters is unpredictable. These matters could be decided unfavorably and could require the Company to pay damages or make other expenditures in amounts or a range of amounts that cannot be estimated with accuracy. However, the Company does not believe these matters, individually or in the aggregate, will have a material adverse effect on the business or financial condition of the Company, and the Company expects that the established accruals adequately provide for the estimated resolution of such claims.</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Income before provision for income taxes in 2025, 2024 and 2023 consisted of the following:</w:t>
      </w:r>
    </w:p>
    <w:p>
      <w:pPr>
        <w:pStyle w:val="TextBody"/>
        <w:bidi w:val="0"/>
        <w:jc w:val="left"/>
        <w:rPr/>
      </w:pPr>
      <w:r>
        <w:rPr/>
        <w:t> </w:t>
      </w:r>
    </w:p>
    <w:tbl>
      <w:tblPr>
        <w:tblW w:w="7378" w:type="dxa"/>
        <w:jc w:val="left"/>
        <w:tblInd w:w="0" w:type="dxa"/>
        <w:tblLayout w:type="fixed"/>
        <w:tblCellMar>
          <w:top w:w="28" w:type="dxa"/>
          <w:left w:w="28" w:type="dxa"/>
          <w:bottom w:w="28" w:type="dxa"/>
          <w:right w:w="28" w:type="dxa"/>
        </w:tblCellMar>
      </w:tblPr>
      <w:tblGrid>
        <w:gridCol w:w="3481"/>
        <w:gridCol w:w="146"/>
        <w:gridCol w:w="211"/>
        <w:gridCol w:w="781"/>
        <w:gridCol w:w="146"/>
        <w:gridCol w:w="146"/>
        <w:gridCol w:w="211"/>
        <w:gridCol w:w="781"/>
        <w:gridCol w:w="146"/>
        <w:gridCol w:w="146"/>
        <w:gridCol w:w="211"/>
        <w:gridCol w:w="781"/>
        <w:gridCol w:w="1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640,255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770,338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722,215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652,440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components of the Company’s provision for income taxes and the effective tax rate for 2025, 2024 and 2023 are summarized as follows in the table below. The Company adopted </w:t>
      </w:r>
      <w:r>
        <w:rPr>
          <w:rFonts w:ascii="Times New Roman" w:hAnsi="Times New Roman"/>
          <w:i/>
          <w:color w:val="000000"/>
          <w:sz w:val="20"/>
        </w:rPr>
        <w:t>ASU 2023-09, Income Taxes (Topic 740): Improvements to Income Tax Disclosures</w:t>
      </w:r>
      <w:r>
        <w:rPr>
          <w:rFonts w:ascii="Times New Roman" w:hAnsi="Times New Roman"/>
          <w:color w:val="000000"/>
          <w:sz w:val="20"/>
        </w:rPr>
        <w:t xml:space="preserve"> in the fourth quarter of 2025. The Company has included the relevant disclosures retrospectively for all periods presented in the consolidated financial statements.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80"/>
        <w:gridCol w:w="146"/>
        <w:gridCol w:w="211"/>
        <w:gridCol w:w="781"/>
        <w:gridCol w:w="166"/>
        <w:gridCol w:w="146"/>
        <w:gridCol w:w="146"/>
        <w:gridCol w:w="421"/>
        <w:gridCol w:w="276"/>
        <w:gridCol w:w="146"/>
        <w:gridCol w:w="211"/>
        <w:gridCol w:w="781"/>
        <w:gridCol w:w="166"/>
        <w:gridCol w:w="146"/>
        <w:gridCol w:w="146"/>
        <w:gridCol w:w="421"/>
        <w:gridCol w:w="276"/>
        <w:gridCol w:w="146"/>
        <w:gridCol w:w="211"/>
        <w:gridCol w:w="781"/>
        <w:gridCol w:w="166"/>
        <w:gridCol w:w="146"/>
        <w:gridCol w:w="146"/>
        <w:gridCol w:w="421"/>
        <w:gridCol w:w="422"/>
      </w:tblGrid>
      <w:tr>
        <w:trPr/>
        <w:tc>
          <w:tcPr>
            <w:tcW w:w="31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income tax provision,</w:t>
              <w:br/>
              <w:t>   based on the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State and local income taxes,</w:t>
              <w:br/>
              <w:t>   net of related Federal income tax effects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valuation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unrecognized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cross-border tax laws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derived intangible income deduction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4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1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Excess tax benefits from 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4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4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9"/>
        <w:gridCol w:w="146"/>
        <w:gridCol w:w="9750"/>
      </w:tblGrid>
      <w:tr>
        <w:trPr/>
        <w:tc>
          <w:tcPr>
            <w:tcW w:w="3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50" w:type="dxa"/>
            <w:tcBorders/>
            <w:vAlign w:val="center"/>
          </w:tcPr>
          <w:p>
            <w:pPr>
              <w:pStyle w:val="TableContents"/>
              <w:bidi w:val="0"/>
              <w:spacing w:before="0" w:after="283"/>
              <w:jc w:val="left"/>
              <w:rPr>
                <w:sz w:val="4"/>
                <w:szCs w:val="4"/>
              </w:rPr>
            </w:pPr>
            <w:r>
              <w:rPr>
                <w:sz w:val="4"/>
                <w:szCs w:val="4"/>
              </w:rPr>
            </w:r>
          </w:p>
        </w:tc>
      </w:tr>
      <w:tr>
        <w:trPr/>
        <w:tc>
          <w:tcPr>
            <w:tcW w:w="3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California, New York, Florida, Illinois, New Jersey, Minnesota and New York City made up the majority (greater than 50%) of this category in each of the years presented, with the addition of Oregon for 2025.</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Excess tax benefits from equity-based compensation activity resulted in a decrease in the Company’s provision for income taxes of $3.2 million, $22.2 million and $3.4 million in 2025, 2024 and 2023, respectively, primarily due to the recognition of excess tax benefits for options exercised and the vesting of equity awards.</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components of the 2025, 2024 and 2023 consolidated provision for income taxes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48"/>
        <w:gridCol w:w="146"/>
        <w:gridCol w:w="211"/>
        <w:gridCol w:w="781"/>
        <w:gridCol w:w="166"/>
        <w:gridCol w:w="146"/>
        <w:gridCol w:w="211"/>
        <w:gridCol w:w="781"/>
        <w:gridCol w:w="166"/>
        <w:gridCol w:w="146"/>
        <w:gridCol w:w="211"/>
        <w:gridCol w:w="781"/>
        <w:gridCol w:w="611"/>
      </w:tblGrid>
      <w:tr>
        <w:trPr/>
        <w:tc>
          <w:tcPr>
            <w:tcW w:w="5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Federal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provision for Federal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83,820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state and local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provision for state and local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non-resident withholding and foreign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provision for non-resident withholding and foreign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133,322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December 28, 2025 and December 29, 2024, the significant components of net deferred income taxes were as follows in the table below. Certain prior period disclosure amounts have been reclassified to conform to the current presentation.</w:t>
      </w:r>
    </w:p>
    <w:p>
      <w:pPr>
        <w:pStyle w:val="TextBody"/>
        <w:bidi w:val="0"/>
        <w:jc w:val="left"/>
        <w:rPr/>
      </w:pPr>
      <w:r>
        <w:rPr/>
        <w:t> </w:t>
      </w:r>
    </w:p>
    <w:tbl>
      <w:tblPr>
        <w:tblW w:w="7775" w:type="dxa"/>
        <w:jc w:val="left"/>
        <w:tblInd w:w="0" w:type="dxa"/>
        <w:tblLayout w:type="fixed"/>
        <w:tblCellMar>
          <w:top w:w="28" w:type="dxa"/>
          <w:left w:w="28" w:type="dxa"/>
          <w:bottom w:w="28" w:type="dxa"/>
          <w:right w:w="28" w:type="dxa"/>
        </w:tblCellMar>
      </w:tblPr>
      <w:tblGrid>
        <w:gridCol w:w="4716"/>
        <w:gridCol w:w="146"/>
        <w:gridCol w:w="233"/>
        <w:gridCol w:w="862"/>
        <w:gridCol w:w="166"/>
        <w:gridCol w:w="146"/>
        <w:gridCol w:w="233"/>
        <w:gridCol w:w="862"/>
        <w:gridCol w:w="411"/>
      </w:tblGrid>
      <w:tr>
        <w:trPr/>
        <w:tc>
          <w:tcPr>
            <w:tcW w:w="4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29,</w:t>
              <w:b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Accruals and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 assets before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126,001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52,684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amortization and asset basis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Realization of the Company’s deferred tax assets is dependent upon many factors, including, but not limited to, the Company’s ability to generate sufficient taxable income. Although realization of the Company’s deferred tax assets is not assured, on an ongoing basis, management assesses whether it remains more likely than not the deferred tax assets will be realized.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28, 2025 and December 29, 2024, the Company had total foreign tax credits of $25.1 million and $21.0 million, respectively, which were fully offset with a corresponding valuation allowance. As of December 28, 2025 and December 29, 2024, the Company also had valuation allowances related to interest deductibility in separately filed states of $1.2 million and $1.4 million, respectively. Management believes the remaining deferred tax assets will be realized. For financial reporting purposes, the Company’s investment in foreign subsidiaries does not exceed its tax basis. Therefore, no deferred income taxes have been provided.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recognizes the financial statement benefit of a tax position if it is more likely than not that the position is sustainable, based solely on its technical merits and consideration of the relevant taxing authorities widely understood administrative practices and precedents. For tax positions meeting the “more likely than not” threshold, the amount recognized in the financial statements is the largest benefit that has a greater than 50 percent likelihood of being realized upon ultimate settlement with the relevant tax authority. The Company recognizes accrued interest related to unrecognized tax benefits in interest expense and recognizes penalties in income tax expense.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reconciliation of the beginning and ending amount of unrecognized tax benefits as of December 28, 2025, December 29, 2024 and December 31, 2023 is as follows:</w:t>
      </w:r>
    </w:p>
    <w:p>
      <w:pPr>
        <w:pStyle w:val="TextBody"/>
        <w:bidi w:val="0"/>
        <w:jc w:val="left"/>
        <w:rPr/>
      </w:pPr>
      <w:r>
        <w:rPr/>
        <w:t> </w:t>
      </w:r>
    </w:p>
    <w:tbl>
      <w:tblPr>
        <w:tblW w:w="9762" w:type="dxa"/>
        <w:jc w:val="left"/>
        <w:tblInd w:w="0" w:type="dxa"/>
        <w:tblLayout w:type="fixed"/>
        <w:tblCellMar>
          <w:top w:w="28" w:type="dxa"/>
          <w:left w:w="28" w:type="dxa"/>
          <w:bottom w:w="28" w:type="dxa"/>
          <w:right w:w="28" w:type="dxa"/>
        </w:tblCellMar>
      </w:tblPr>
      <w:tblGrid>
        <w:gridCol w:w="5096"/>
        <w:gridCol w:w="146"/>
        <w:gridCol w:w="294"/>
        <w:gridCol w:w="801"/>
        <w:gridCol w:w="166"/>
        <w:gridCol w:w="146"/>
        <w:gridCol w:w="294"/>
        <w:gridCol w:w="801"/>
        <w:gridCol w:w="166"/>
        <w:gridCol w:w="146"/>
        <w:gridCol w:w="294"/>
        <w:gridCol w:w="801"/>
        <w:gridCol w:w="611"/>
      </w:tblGrid>
      <w:tr>
        <w:trPr/>
        <w:tc>
          <w:tcPr>
            <w:tcW w:w="5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29,</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Unrecognized tax benefits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Additions for tax positions of current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Additions for tax positions of prior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Reductions for changes in prior year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Reductions for lapses of applicable statute of limitations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Unrecognized tax benefits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As of December 28, 2025, the amount of unrecognized tax benefits was $4.5 million of which, if ultimately recognized, $4.5 million would be recognized as an income tax benefit and reduce the Company</w:t>
      </w:r>
      <w:r>
        <w:rPr>
          <w:rFonts w:ascii="Times New Roman" w:hAnsi="Times New Roman"/>
          <w:caps/>
          <w:color w:val="000000"/>
          <w:sz w:val="20"/>
        </w:rPr>
        <w:t>’</w:t>
      </w:r>
      <w:r>
        <w:rPr>
          <w:rFonts w:ascii="Times New Roman" w:hAnsi="Times New Roman"/>
          <w:color w:val="000000"/>
          <w:sz w:val="20"/>
        </w:rPr>
        <w:t xml:space="preserve">s effective tax rate. As of December 28, 2025, the Company had $0.7 million of accrued interest and no accrued penalties.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As of December 29, 2024, the amount of unrecognized tax benefits was $4.5 million of which, if ultimately recognized, $4.5 million would be recognized as an income tax benefit and reduce the Company</w:t>
      </w:r>
      <w:r>
        <w:rPr>
          <w:rFonts w:ascii="Times New Roman" w:hAnsi="Times New Roman"/>
          <w:caps/>
          <w:color w:val="000000"/>
          <w:sz w:val="20"/>
        </w:rPr>
        <w:t>’</w:t>
      </w:r>
      <w:r>
        <w:rPr>
          <w:rFonts w:ascii="Times New Roman" w:hAnsi="Times New Roman"/>
          <w:color w:val="000000"/>
          <w:sz w:val="20"/>
        </w:rPr>
        <w:t>s effective tax rate. As of December 29, 2024, the Company had $0.6 million of accrued interest and no accrued penalties.</w:t>
      </w:r>
    </w:p>
    <w:p>
      <w:pPr>
        <w:pStyle w:val="TextBody"/>
        <w:bidi w:val="0"/>
        <w:jc w:val="left"/>
        <w:rPr/>
      </w:pPr>
      <w:r>
        <w:rPr/>
        <w:t> </w:t>
      </w:r>
    </w:p>
    <w:p>
      <w:pPr>
        <w:pStyle w:val="TextBody"/>
        <w:bidi w:val="0"/>
        <w:spacing w:before="0" w:after="200"/>
        <w:jc w:val="left"/>
        <w:rPr>
          <w:rFonts w:ascii="Times New Roman" w:hAnsi="Times New Roman"/>
          <w:sz w:val="20"/>
        </w:rPr>
      </w:pPr>
      <w:r>
        <w:rPr>
          <w:rFonts w:ascii="Times New Roman" w:hAnsi="Times New Roman"/>
          <w:color w:val="000000"/>
          <w:sz w:val="20"/>
        </w:rPr>
        <w:t>There are currently no Internal Revenue Service audits in progress for the Company. The Company continues to be under examination by certain states. The Company</w:t>
      </w:r>
      <w:r>
        <w:rPr>
          <w:rFonts w:ascii="Times New Roman" w:hAnsi="Times New Roman"/>
          <w:caps/>
          <w:color w:val="000000"/>
          <w:sz w:val="20"/>
        </w:rPr>
        <w:t>’</w:t>
      </w:r>
      <w:r>
        <w:rPr>
          <w:rFonts w:ascii="Times New Roman" w:hAnsi="Times New Roman"/>
          <w:color w:val="000000"/>
          <w:sz w:val="20"/>
        </w:rPr>
        <w:t>s Federal statute of limitation has expired for years prior to 2022, but it varies for state and foreign locations. The Company believes appropriate provisions for all outstanding tax issues have been made for all jurisdictions and all open years.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(8)</w:t>
      </w:r>
    </w:p>
    <w:p>
      <w:pPr>
        <w:pStyle w:val="TextBody"/>
        <w:bidi w:val="0"/>
        <w:jc w:val="left"/>
        <w:rPr>
          <w:rFonts w:ascii="Times New Roman" w:hAnsi="Times New Roman"/>
          <w:b/>
          <w:color w:val="000000"/>
          <w:sz w:val="20"/>
        </w:rPr>
      </w:pPr>
      <w:r>
        <w:rPr>
          <w:rFonts w:ascii="Times New Roman" w:hAnsi="Times New Roman"/>
          <w:b/>
          <w:color w:val="000000"/>
          <w:sz w:val="20"/>
        </w:rPr>
        <w:t>Employee Benefits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a retirement savings plan which qualifies under Internal Revenue Code Section 401(k). All employees of the Company who have completed 60 days of service and are at least 18 years of age are eligible to participate in the plan. The plan requires the Company to match 100% of the first 5% of each employee’s elective deferrals contributed on a per paycheck basis. The Company’s matching contributions are made in the form of cash and vest immediately. The expenses incurred for Company contributions to the plan were $14.2 million, $14.1 million and $12.5 million in 2025, 2024 and 2023,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established a non-qualified deferred compensation plan available for certain key employees. Under this self-funding plan, the participants may defer up to 50% of their base salary and up to 80% of their bonus compensation. The participants direct the investment of their deferred compensation within several investment funds. The Company is not required to contribute and did not contribute to this plan during 2025, 2024 and 2023.</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has an employee stock payroll deduction plan (the “ESPDP”). Under the ESPDP, eligible employees may deduct up to 15% of their eligible wages to purchase common stock at 85% of the market price of the stock on the purchase date. The ESPDP requires employees to hold their purchased common stock for at least one year. The Company purchases common stock on the open market for the ESPDP at the current market price. There were 17,487 shares, 15,935 shares and 18,439 shares of common stock in 2025, 2024 and 2023, respectively, purchased on the open market for participating employees at a weighted-average price of $456.21 in 2025, $450.59 in 2024 and $341.76 in 2023. The expenses incurred under the ESPDP were $1.2 million, $1.0 million, and $0.9 million in 2025, 2024 and 2023, respectively.</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(9)</w:t>
      </w:r>
    </w:p>
    <w:p>
      <w:pPr>
        <w:pStyle w:val="TextBody"/>
        <w:bidi w:val="0"/>
        <w:jc w:val="left"/>
        <w:rPr>
          <w:rFonts w:ascii="Times New Roman" w:hAnsi="Times New Roman"/>
          <w:b/>
          <w:color w:val="000000"/>
          <w:sz w:val="20"/>
        </w:rPr>
      </w:pPr>
      <w:r>
        <w:rPr>
          <w:rFonts w:ascii="Times New Roman" w:hAnsi="Times New Roman"/>
          <w:b/>
          <w:color w:val="000000"/>
          <w:sz w:val="20"/>
        </w:rPr>
        <w:t>Equity Incentive Plans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current equity incentive plan, named the Domino’s Pizza, Inc. 2004 Equity Incentive Plan (the “2004 Equity Incentive Plan”), benefits certain of the Company’s employees and members of the Company’s Board of Directors. As of December 28, 2025, the maximum number of shares that may be granted under the 2004 Equity Incentive Plan is 15,600,000 shares of voting common stock of which 2,004,315 shares were authorized for grant but have not been granted.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cost of all employee stock options, as well as other equity-based compensation arrangements, is reflected in the consolidated statements of income based on the estimated fair value of the awards and is amortized over the requisite service period of each award. All non-cash equity-based compensation expense amounts are recorded in general and administrative expense. The Company accounts for forfeitures as they occur.</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recorded total non-cash equity-based compensation expense of $44.6 million, $43.3 million and $37.5 million in 2025, 2024 and 2023, respectively. The Company recorded a deferred tax benefit related to non-cash equity-based compensation expense of $6.1 million, $6.8 million and $6.3 million in 2025, 2024 and 2023, respectively.</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Stock Options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28, 2025, the number of stock options granted and outstanding under the 2004 Equity Incentive Plan was 424,286 options. Stock options granted in fiscal 2016 through fiscal 2020 were granted with an exercise price equal to the market price at the date of the grant, expire ten years from the date of grant and generally vested over four years from the date of grant, generally subject to the holder’s continued employment. Stock options granted after fiscal 2020 were granted with an exercise price equal to the market price at the date of the grant, expire ten years from the date of grant and generally vest over three years from the date of grant, generally subject to the holder’s continued employment. Additionally, all stock options granted become fully exercisable upon vesting. These awards also contain provisions for accelerated vesting upon the retirement of the holders that have achieved specific service and age requirements.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Stock option activity related to the 2004 Equity Incentive Plan is summarized as follows:</w:t>
      </w:r>
    </w:p>
    <w:p>
      <w:pPr>
        <w:pStyle w:val="TextBody"/>
        <w:bidi w:val="0"/>
        <w:jc w:val="left"/>
        <w:rPr/>
      </w:pPr>
      <w:r>
        <w:rPr/>
        <w:t> </w:t>
      </w:r>
    </w:p>
    <w:tbl>
      <w:tblPr>
        <w:tblW w:w="8413" w:type="dxa"/>
        <w:jc w:val="left"/>
        <w:tblInd w:w="0" w:type="dxa"/>
        <w:tblLayout w:type="fixed"/>
        <w:tblCellMar>
          <w:top w:w="28" w:type="dxa"/>
          <w:left w:w="28" w:type="dxa"/>
          <w:bottom w:w="28" w:type="dxa"/>
          <w:right w:w="28" w:type="dxa"/>
        </w:tblCellMar>
      </w:tblPr>
      <w:tblGrid>
        <w:gridCol w:w="3061"/>
        <w:gridCol w:w="146"/>
        <w:gridCol w:w="148"/>
        <w:gridCol w:w="858"/>
        <w:gridCol w:w="166"/>
        <w:gridCol w:w="146"/>
        <w:gridCol w:w="211"/>
        <w:gridCol w:w="676"/>
        <w:gridCol w:w="146"/>
        <w:gridCol w:w="146"/>
        <w:gridCol w:w="255"/>
        <w:gridCol w:w="631"/>
        <w:gridCol w:w="146"/>
        <w:gridCol w:w="146"/>
        <w:gridCol w:w="271"/>
        <w:gridCol w:w="869"/>
        <w:gridCol w:w="3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Options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at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5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672,142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forfeited or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forfeited or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at December 29,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forfeited or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at December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total intrinsic value of stock options exercised was $16.4 million, $93.5 million and $19.6 million in 2025, 2024 and 2023, respectively. Cash received from the exercise of stock options was $18.8 million, $36.0 million and $8.7 million in 2025, 2024 and 2023, respectively. The tax benefit realized from stock options exercised was $1.9 million, $20.8 million and $4.2 million in 2025, 2024 and 2023,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recorded total non-cash equity-based compensation expense of $7.8 million, $6.7 million and $5.8 million in 2025, 2024 and 2023, respectively, related to stock option awards. As of December 28, 2025, there was $6.2 million of total unrecognized compensation cost related to unvested stock options granted under the 2004 Equity Incentive Plan which will be recognized on a straight-line basis over the related vesting period. This unrecognized compensation cost is expected to be recognized over a weighted average period of 1.7 years. </w:t>
      </w:r>
    </w:p>
    <w:p>
      <w:pPr>
        <w:pStyle w:val="TextBody"/>
        <w:bidi w:val="0"/>
        <w:jc w:val="left"/>
        <w:rPr>
          <w:rFonts w:ascii="Times New Roman" w:hAnsi="Times New Roman"/>
          <w:color w:val="000000"/>
          <w:sz w:val="20"/>
        </w:rPr>
      </w:pPr>
      <w:r>
        <w:rPr>
          <w:rFonts w:ascii="Times New Roman" w:hAnsi="Times New Roman"/>
          <w:color w:val="000000"/>
          <w:sz w:val="20"/>
        </w:rPr>
        <w:t xml:space="preserve">Management estimated the fair value of each option grant made during 2025, 2024 and 2023 as of the date of the grant using the Black-Scholes option pricing method. The risk-free interest rate is based on the estimated expected life and is estimated based on U.S. Treasury Bond rates as of the grant date. The expected life is based on several factors, including, among other things, the vesting term and contractual term as well as historical experience. The expected volatility is based principally on the historical volatility of the Company’s share price. Option valuation models require the input of highly subjective assumptions and changes in assumptions can significantly affect the estimated fair value of the Company’s stock options.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weighted average assumptions used in estimating the fair value of each stock option granted in 2025, 2024 and 2023 using the Black-Scholes option pricing method are presented in the following table:</w:t>
      </w:r>
    </w:p>
    <w:p>
      <w:pPr>
        <w:pStyle w:val="TextBody"/>
        <w:bidi w:val="0"/>
        <w:jc w:val="left"/>
        <w:rPr/>
      </w:pPr>
      <w:r>
        <w:rPr/>
        <w:t> </w:t>
      </w:r>
    </w:p>
    <w:tbl>
      <w:tblPr>
        <w:tblW w:w="7854" w:type="dxa"/>
        <w:jc w:val="left"/>
        <w:tblInd w:w="0" w:type="dxa"/>
        <w:tblLayout w:type="fixed"/>
        <w:tblCellMar>
          <w:top w:w="28" w:type="dxa"/>
          <w:left w:w="28" w:type="dxa"/>
          <w:bottom w:w="28" w:type="dxa"/>
          <w:right w:w="28" w:type="dxa"/>
        </w:tblCellMar>
      </w:tblPr>
      <w:tblGrid>
        <w:gridCol w:w="3766"/>
        <w:gridCol w:w="146"/>
        <w:gridCol w:w="221"/>
        <w:gridCol w:w="710"/>
        <w:gridCol w:w="271"/>
        <w:gridCol w:w="146"/>
        <w:gridCol w:w="221"/>
        <w:gridCol w:w="710"/>
        <w:gridCol w:w="271"/>
        <w:gridCol w:w="146"/>
        <w:gridCol w:w="251"/>
        <w:gridCol w:w="679"/>
        <w:gridCol w:w="31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fair value per stock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Other Equity-Based Compensation Arrangements</w:t>
      </w:r>
    </w:p>
    <w:p>
      <w:pPr>
        <w:pStyle w:val="TextBody"/>
        <w:bidi w:val="0"/>
        <w:jc w:val="left"/>
        <w:rPr>
          <w:rFonts w:ascii="Times New Roman" w:hAnsi="Times New Roman"/>
          <w:color w:val="000000"/>
          <w:sz w:val="20"/>
        </w:rPr>
      </w:pPr>
      <w:r>
        <w:rPr>
          <w:rFonts w:ascii="Times New Roman" w:hAnsi="Times New Roman"/>
          <w:color w:val="000000"/>
          <w:sz w:val="20"/>
        </w:rPr>
        <w:t>The Company granted 3,480 units, 3,322 units and 4,553 units of restricted stock in 2025, 2024 and 2023, respectively, to members of its Board of Directors. Restricted stock units and awards granted to members of the Company’s Board of Directors were granted with a fair value equal to the market price of the Company’s common stock on the grant date and generally vest one year from the date of grant, generally subject to the director’s continued service. These awards also contain provisions for accelerated vesting upon the retirement eligibility of the holders that have achieved specified service and age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granted 61,840 units, 64,272 units and 125,285 units of restricted stock in 2025, 2024 and 2023, respectively, to certain employees of the Company. These restricted stock units were granted with a fair value equal to the market price of the Company’s common stock on the grant date. These restricted stock units are generally separated into three tranches and have time-based vesting conditions with the last tranche of the award generally vesting three years from the grant date, generally subject to the holder’s continued employment. These awards generally also contain provisions for accelerated vesting upon the retirement of the holders that have achieved specified service and age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granted 17,349 units, 17,670 units and 37,677 units of performance-based restricted stock units in 2025, 2024 and 2023, respectively, to certain employees of the Company. These restricted stock units were granted with a fair value equal to the market price of the Company’s common stock on the grant date, certain of which were adjusted for the estimated fair value of the market condition included in the award. These performance-based restricted stock units may vest three years from the date of grant, generally subject to the holder’s continued employment, and have time- and performance-based vesting conditions which provide for potential payouts of the target award amount between zero percent and two hundred percent, based on the Company’s three-year achievement as compared to the specified target performance conditions. Certain of the performance-based restricted stock units also include provisions for a potential modifier (upward or downward) based on the Company’s cumulative three-year common stock total shareholder return performance relative to that of a pre-established peer group. These awards contain provisions for full or partial vesting if the holder retires during the performance period, after achieving specified service and age requirements. For the awards with a market condition, Management estimated the fair value of each performance-based restricted stock unit using a Monte-Carlo simulation pricing method. The risk-free interest rate is based on the estimated expected life and is estimated based on U.S. Treasury Bond rates as of the grant date. The Monte-Carlo simulation also includes assumptions for expected volatility based principally on the historical volatility of the Company’s share price, as well as the correlation of the Company’s share price as compared to that of the pre-established peer group.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weighted average assumptions used in estimating the fair value of the performance-based restricted stock units granted in 2025, 2024 and 2023 that include a market condition using the Monte-Carlo simulation pricing method are presented in the following table: </w:t>
      </w:r>
    </w:p>
    <w:p>
      <w:pPr>
        <w:pStyle w:val="TextBody"/>
        <w:bidi w:val="0"/>
        <w:jc w:val="left"/>
        <w:rPr/>
      </w:pPr>
      <w:r>
        <w:rPr/>
        <w:t> </w:t>
      </w:r>
    </w:p>
    <w:tbl>
      <w:tblPr>
        <w:tblW w:w="10014" w:type="dxa"/>
        <w:jc w:val="left"/>
        <w:tblInd w:w="0" w:type="dxa"/>
        <w:tblLayout w:type="fixed"/>
        <w:tblCellMar>
          <w:top w:w="28" w:type="dxa"/>
          <w:left w:w="28" w:type="dxa"/>
          <w:bottom w:w="28" w:type="dxa"/>
          <w:right w:w="28" w:type="dxa"/>
        </w:tblCellMar>
      </w:tblPr>
      <w:tblGrid>
        <w:gridCol w:w="5926"/>
        <w:gridCol w:w="146"/>
        <w:gridCol w:w="221"/>
        <w:gridCol w:w="710"/>
        <w:gridCol w:w="271"/>
        <w:gridCol w:w="146"/>
        <w:gridCol w:w="221"/>
        <w:gridCol w:w="710"/>
        <w:gridCol w:w="271"/>
        <w:gridCol w:w="146"/>
        <w:gridCol w:w="221"/>
        <w:gridCol w:w="709"/>
        <w:gridCol w:w="316"/>
      </w:tblGrid>
      <w:tr>
        <w:trPr/>
        <w:tc>
          <w:tcPr>
            <w:tcW w:w="5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fair value per performance-based restricted stock unit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Activity related to restricted stock units and performance-based restricted stock units awarded under the 2004 Equity Incentive Plan is summarized as follows in the table below. The Company recorded total non-cash equity-based compensation expense of $36.8 million, $36.6 million and $31.7 million in 2025, 2024 and 2023, respectively, related to these restricted stock units and performance-based restricted stock units. As of December 28, 2025, there was $42.0 million of total unrecognized compensation cost related to these restricted stock units and performance-based restricted stock units. The unrecognized compensation cost related to restricted stock units and performance-based restricted stock units is expected to be recognized over a weighted average period of 2.0 years.</w:t>
      </w:r>
    </w:p>
    <w:p>
      <w:pPr>
        <w:pStyle w:val="TextBody"/>
        <w:bidi w:val="0"/>
        <w:jc w:val="left"/>
        <w:rPr/>
      </w:pPr>
      <w:r>
        <w:rPr/>
        <w:t> </w:t>
      </w:r>
    </w:p>
    <w:tbl>
      <w:tblPr>
        <w:tblW w:w="5527" w:type="dxa"/>
        <w:jc w:val="left"/>
        <w:tblInd w:w="0" w:type="dxa"/>
        <w:tblLayout w:type="fixed"/>
        <w:tblCellMar>
          <w:top w:w="28" w:type="dxa"/>
          <w:left w:w="28" w:type="dxa"/>
          <w:bottom w:w="28" w:type="dxa"/>
          <w:right w:w="28" w:type="dxa"/>
        </w:tblCellMar>
      </w:tblPr>
      <w:tblGrid>
        <w:gridCol w:w="2806"/>
        <w:gridCol w:w="146"/>
        <w:gridCol w:w="146"/>
        <w:gridCol w:w="781"/>
        <w:gridCol w:w="166"/>
        <w:gridCol w:w="146"/>
        <w:gridCol w:w="225"/>
        <w:gridCol w:w="720"/>
        <w:gridCol w:w="3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29,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(10)</w:t>
      </w:r>
    </w:p>
    <w:p>
      <w:pPr>
        <w:pStyle w:val="TextBody"/>
        <w:bidi w:val="0"/>
        <w:jc w:val="left"/>
        <w:rPr>
          <w:rFonts w:ascii="Times New Roman" w:hAnsi="Times New Roman"/>
          <w:b/>
          <w:color w:val="000000"/>
          <w:sz w:val="20"/>
        </w:rPr>
      </w:pPr>
      <w:r>
        <w:rPr>
          <w:rFonts w:ascii="Times New Roman" w:hAnsi="Times New Roman"/>
          <w:b/>
          <w:color w:val="000000"/>
          <w:sz w:val="20"/>
        </w:rPr>
        <w:t>Capital Structure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share repurchase programs have historically been funded by excess operating cash flows, excess proceeds from the Company’s recapitalization transactions and borrowings under the Company’s variable funding notes. The Company’s policy is to recognize the difference between the purchase price and par value of the common stock in additional paid-in capital. In instances where there is no additional paid-in capital, the difference is recognized in retained deficit.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2025, 2024 and 2023, the Company repurchased 785,280 shares, 758,242 shares and 789,977 shares of the Company’s common stock for $354.7 million, $327.0 million and $269.0 million, respectively. As of December 28, 2025, the Company had $459.7 million remaining under the $1.0 billion share repurchase authorization approved by its Board of Directors on February 21, 2024 for repurchases of shares of the Company’s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28, 2025, authorized common stock consists of 160,000,000 voting shares and 10,000,000 non-voting shares. The share components of outstanding common stock at December 28, 2025 and December 29, 2024 were as follows:</w:t>
      </w:r>
    </w:p>
    <w:p>
      <w:pPr>
        <w:pStyle w:val="TextBody"/>
        <w:bidi w:val="0"/>
        <w:jc w:val="left"/>
        <w:rPr/>
      </w:pPr>
      <w:r>
        <w:rPr/>
        <w:t> </w:t>
      </w:r>
    </w:p>
    <w:tbl>
      <w:tblPr>
        <w:tblW w:w="4854" w:type="dxa"/>
        <w:jc w:val="left"/>
        <w:tblInd w:w="0" w:type="dxa"/>
        <w:tblLayout w:type="fixed"/>
        <w:tblCellMar>
          <w:top w:w="28" w:type="dxa"/>
          <w:left w:w="28" w:type="dxa"/>
          <w:bottom w:w="28" w:type="dxa"/>
          <w:right w:w="28" w:type="dxa"/>
        </w:tblCellMar>
      </w:tblPr>
      <w:tblGrid>
        <w:gridCol w:w="1861"/>
        <w:gridCol w:w="146"/>
        <w:gridCol w:w="146"/>
        <w:gridCol w:w="1036"/>
        <w:gridCol w:w="146"/>
        <w:gridCol w:w="146"/>
        <w:gridCol w:w="146"/>
        <w:gridCol w:w="1036"/>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29,</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33,624,795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34,278,732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Non-Voting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33,627,992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34,281,927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three reportable segments: (i) U.S. stores; (ii) supply chain; and (iii) international franchise.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operations are organized by management on the combined basis of line of business and geography. The U.S. stores segment includes operations with respect to all franchised and Company-owned stores throughout the U.S. The supply chain segment primarily includes the distribution of food, and to a lesser extent, other products, from the Company’s supply chain center operations in the U.S. and Canada. Over 90% of the Company’s supply chain revenues are attributable to the U.S. The international franchise segment includes operations related to the Company’s franchising business in foreign markets. The accounting policies of the reportable segments are the same as those described in Note 1. The Company’s chief operating decision maker is its Chief Executive Officer, and he evaluates the performance of the Company’s segments and allocates resources to them based on revenues and earnings before interest, taxes, depreciation, amortization and other, referred to as Segment Income. The Company’s chief operating decision maker uses Segment Income to determine future business objectives and targets and for long-range planning for the reportable segments, as well as to evaluate their operating performance.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tables below summarize the financial information, including revenues, significant segment expenses, Segment Income and capital expenditures, concerning the Company’s reportable segments for fiscal years 2025, 2024 and 2023. Intersegment revenues are comprised of sales of food, and to a lesser extent, other products, from the supply chain segment to the Company-owned stores in the U.S. stores segment. Intersegment sales prices are market based.</w:t>
      </w:r>
    </w:p>
    <w:p>
      <w:pPr>
        <w:pStyle w:val="TextBody"/>
        <w:bidi w:val="0"/>
        <w:jc w:val="left"/>
        <w:rPr/>
      </w:pPr>
      <w:r>
        <w:rPr/>
        <w:t> </w:t>
      </w:r>
    </w:p>
    <w:tbl>
      <w:tblPr>
        <w:tblW w:w="9551" w:type="dxa"/>
        <w:jc w:val="left"/>
        <w:tblInd w:w="0" w:type="dxa"/>
        <w:tblLayout w:type="fixed"/>
        <w:tblCellMar>
          <w:top w:w="28" w:type="dxa"/>
          <w:left w:w="28" w:type="dxa"/>
          <w:bottom w:w="28" w:type="dxa"/>
          <w:right w:w="28" w:type="dxa"/>
        </w:tblCellMar>
      </w:tblPr>
      <w:tblGrid>
        <w:gridCol w:w="3506"/>
        <w:gridCol w:w="146"/>
        <w:gridCol w:w="211"/>
        <w:gridCol w:w="931"/>
        <w:gridCol w:w="146"/>
        <w:gridCol w:w="146"/>
        <w:gridCol w:w="211"/>
        <w:gridCol w:w="931"/>
        <w:gridCol w:w="166"/>
        <w:gridCol w:w="146"/>
        <w:gridCol w:w="226"/>
        <w:gridCol w:w="840"/>
        <w:gridCol w:w="246"/>
        <w:gridCol w:w="246"/>
        <w:gridCol w:w="211"/>
        <w:gridCol w:w="931"/>
        <w:gridCol w:w="311"/>
      </w:tblGrid>
      <w:tr>
        <w:trPr/>
        <w:tc>
          <w:tcPr>
            <w:tcW w:w="3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 December 28,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br/>
              <w:t>Stores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Supply</w:t>
              <w:br/>
              <w:t>Chain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br/>
              <w:t>Franchise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375,153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royalties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677,114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3,106,047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Supply chain - intersegment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(116,518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International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338,704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338,704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559,494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559,494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1,611,761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2,989,529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338,704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4,939,994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 food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2,230,282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 labor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384,374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Cost of sales - 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299,992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559,494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50,159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281,888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575,349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320,070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288,545</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1,183,964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Segment capital expenditures </w:t>
            </w:r>
            <w:r>
              <w:rPr>
                <w:rFonts w:ascii="Times New Roman" w:hAnsi="Times New Roman"/>
                <w:b/>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57,432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67,504</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551" w:type="dxa"/>
        <w:jc w:val="left"/>
        <w:tblInd w:w="0" w:type="dxa"/>
        <w:tblLayout w:type="fixed"/>
        <w:tblCellMar>
          <w:top w:w="28" w:type="dxa"/>
          <w:left w:w="28" w:type="dxa"/>
          <w:bottom w:w="28" w:type="dxa"/>
          <w:right w:w="28" w:type="dxa"/>
        </w:tblCellMar>
      </w:tblPr>
      <w:tblGrid>
        <w:gridCol w:w="3506"/>
        <w:gridCol w:w="146"/>
        <w:gridCol w:w="211"/>
        <w:gridCol w:w="931"/>
        <w:gridCol w:w="146"/>
        <w:gridCol w:w="146"/>
        <w:gridCol w:w="211"/>
        <w:gridCol w:w="931"/>
        <w:gridCol w:w="166"/>
        <w:gridCol w:w="146"/>
        <w:gridCol w:w="226"/>
        <w:gridCol w:w="840"/>
        <w:gridCol w:w="246"/>
        <w:gridCol w:w="246"/>
        <w:gridCol w:w="211"/>
        <w:gridCol w:w="931"/>
        <w:gridCol w:w="311"/>
      </w:tblGrid>
      <w:tr>
        <w:trPr/>
        <w:tc>
          <w:tcPr>
            <w:tcW w:w="3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 December 29, 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br/>
              <w:t>Stores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Supply</w:t>
              <w:br/>
              <w:t>Chain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br/>
              <w:t>Franchise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393,898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royalties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638,193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2,966,953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Supply chain - intersegment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(121,172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International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318,691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318,691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509,853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1,541,944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2,845,781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318,691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4,706,416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 food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2,142,036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 labor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385,563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Cost of sales - 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280,891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509,853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58,029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281,407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565,393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280,611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260,662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1,106,666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Segment capital expenditures </w:t>
            </w:r>
            <w:r>
              <w:rPr>
                <w:rFonts w:ascii="Times New Roman" w:hAnsi="Times New Roman"/>
                <w:b/>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44,653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55,645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551" w:type="dxa"/>
        <w:jc w:val="left"/>
        <w:tblInd w:w="0" w:type="dxa"/>
        <w:tblLayout w:type="fixed"/>
        <w:tblCellMar>
          <w:top w:w="28" w:type="dxa"/>
          <w:left w:w="28" w:type="dxa"/>
          <w:bottom w:w="28" w:type="dxa"/>
          <w:right w:w="28" w:type="dxa"/>
        </w:tblCellMar>
      </w:tblPr>
      <w:tblGrid>
        <w:gridCol w:w="3506"/>
        <w:gridCol w:w="146"/>
        <w:gridCol w:w="211"/>
        <w:gridCol w:w="931"/>
        <w:gridCol w:w="146"/>
        <w:gridCol w:w="146"/>
        <w:gridCol w:w="211"/>
        <w:gridCol w:w="931"/>
        <w:gridCol w:w="166"/>
        <w:gridCol w:w="146"/>
        <w:gridCol w:w="226"/>
        <w:gridCol w:w="840"/>
        <w:gridCol w:w="246"/>
        <w:gridCol w:w="246"/>
        <w:gridCol w:w="211"/>
        <w:gridCol w:w="931"/>
        <w:gridCol w:w="311"/>
      </w:tblGrid>
      <w:tr>
        <w:trPr/>
        <w:tc>
          <w:tcPr>
            <w:tcW w:w="3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 December 31, 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br/>
              <w:t>Stores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Supply</w:t>
              <w:br/>
              <w:t>Chain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br/>
              <w:t>Franchise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376,180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royalties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604,897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2,829,224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Supply chain - intersegment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(114,215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International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310,077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310,077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473,195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1,454,272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2,715,009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310,077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4,479,358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 food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2,074,054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 labor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365,846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Cost of sales - 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268,251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473,195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271,997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520,977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245,430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259,608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1,026,015</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Segment capital expenditures </w:t>
            </w:r>
            <w:r>
              <w:rPr>
                <w:rFonts w:ascii="Times New Roman" w:hAnsi="Times New Roman"/>
                <w:b/>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46,079</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Cost of sales - other, includes delivery, occupancy costs (including rent, telephone and utilities), insurance expense and other. Depreciation and amortization is not included in the measurement of Segment Income.</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General and administrative expense consists primarily of labor cost (including variable performance-based compensation expense), computer expenses, professional fees, travel and entertainment, rent, insurance expense and other. Depreciation and amortization, non-cash equity-based compensation expense and gains and losses from the sale of assets are not included in the measurement of Segment Income.</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rFonts w:ascii="sans-serif" w:hAnsi="sans-serif"/>
          <w:sz w:val="22"/>
        </w:rPr>
      </w:pPr>
      <w:r>
        <w:rPr>
          <w:rFonts w:ascii="Times New Roman" w:hAnsi="Times New Roman"/>
          <w:color w:val="000000"/>
          <w:sz w:val="16"/>
        </w:rPr>
        <w:t>The Company also had $52.4</w:t>
      </w:r>
      <w:r>
        <w:rPr>
          <w:rFonts w:ascii="sans-serif" w:hAnsi="sans-serif"/>
          <w:color w:val="000000"/>
          <w:sz w:val="22"/>
        </w:rPr>
        <w:t xml:space="preserve"> </w:t>
      </w:r>
      <w:r>
        <w:rPr>
          <w:rFonts w:ascii="Times New Roman" w:hAnsi="Times New Roman"/>
          <w:color w:val="000000"/>
          <w:sz w:val="16"/>
        </w:rPr>
        <w:t>million, $53.7</w:t>
      </w:r>
      <w:r>
        <w:rPr>
          <w:rFonts w:ascii="sans-serif" w:hAnsi="sans-serif"/>
          <w:color w:val="000000"/>
          <w:sz w:val="22"/>
        </w:rPr>
        <w:t xml:space="preserve"> </w:t>
      </w:r>
      <w:r>
        <w:rPr>
          <w:rFonts w:ascii="Times New Roman" w:hAnsi="Times New Roman"/>
          <w:color w:val="000000"/>
          <w:sz w:val="16"/>
        </w:rPr>
        <w:t>million and $59.2</w:t>
      </w:r>
      <w:r>
        <w:rPr>
          <w:rFonts w:ascii="sans-serif" w:hAnsi="sans-serif"/>
          <w:color w:val="000000"/>
          <w:sz w:val="22"/>
        </w:rPr>
        <w:t xml:space="preserve"> </w:t>
      </w:r>
      <w:r>
        <w:rPr>
          <w:rFonts w:ascii="Times New Roman" w:hAnsi="Times New Roman"/>
          <w:color w:val="000000"/>
          <w:sz w:val="16"/>
        </w:rPr>
        <w:t>million of other capital expenditures not attributable to the reportable segments primarily representing capitalized software and other corporate capital expenditures in 2025, 2024 and 2023,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reconciles total Segment Income to income before provision for income taxes: </w:t>
      </w:r>
    </w:p>
    <w:p>
      <w:pPr>
        <w:pStyle w:val="TextBody"/>
        <w:bidi w:val="0"/>
        <w:jc w:val="left"/>
        <w:rPr/>
      </w:pPr>
      <w:r>
        <w:rPr/>
        <w:t> </w:t>
      </w:r>
    </w:p>
    <w:tbl>
      <w:tblPr>
        <w:tblW w:w="8478" w:type="dxa"/>
        <w:jc w:val="left"/>
        <w:tblInd w:w="0" w:type="dxa"/>
        <w:tblLayout w:type="fixed"/>
        <w:tblCellMar>
          <w:top w:w="28" w:type="dxa"/>
          <w:left w:w="28" w:type="dxa"/>
          <w:bottom w:w="28" w:type="dxa"/>
          <w:right w:w="28" w:type="dxa"/>
        </w:tblCellMar>
      </w:tblPr>
      <w:tblGrid>
        <w:gridCol w:w="3971"/>
        <w:gridCol w:w="146"/>
        <w:gridCol w:w="211"/>
        <w:gridCol w:w="931"/>
        <w:gridCol w:w="166"/>
        <w:gridCol w:w="146"/>
        <w:gridCol w:w="211"/>
        <w:gridCol w:w="931"/>
        <w:gridCol w:w="166"/>
        <w:gridCol w:w="146"/>
        <w:gridCol w:w="211"/>
        <w:gridCol w:w="931"/>
        <w:gridCol w:w="311"/>
      </w:tblGrid>
      <w:tr>
        <w:trPr/>
        <w:tc>
          <w:tcPr>
            <w:tcW w:w="3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1,026,015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General and administrative - 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(86,894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(80,640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sale/disposal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Refranchising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819,519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(196,475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770,338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722,215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652,440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Represents corporate administrative costs that have not been allocated to a reportable segment including labor, computer expenses, professional fees, travel and entertainment, rent, insurance and other corporate administrative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chief operating decision maker is not regularly provided financial information related to the assets of the reportable segments, and he does not evaluate their performance or allocate resources to them based on assets. Therefore, total assets by reportable segment are not included in the Company’s segment disclosures.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(12)</w:t>
      </w:r>
    </w:p>
    <w:p>
      <w:pPr>
        <w:pStyle w:val="TextBody"/>
        <w:bidi w:val="0"/>
        <w:jc w:val="left"/>
        <w:rPr>
          <w:rFonts w:ascii="Times New Roman" w:hAnsi="Times New Roman"/>
          <w:b/>
          <w:color w:val="000000"/>
          <w:sz w:val="20"/>
        </w:rPr>
      </w:pPr>
      <w:r>
        <w:rPr>
          <w:rFonts w:ascii="Times New Roman" w:hAnsi="Times New Roman"/>
          <w:b/>
          <w:color w:val="000000"/>
          <w:sz w:val="20"/>
        </w:rPr>
        <w:t>Company-owned Store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2025, the Company refranchised 37 U.S. Company-owned stores, primarily in Maryland, for net proceeds of $8.6 million. The pre-tax refranchising gain associated with the sale of the related assets and liabilities, including a $1.4 million reduction in goodwill, was $4.0 million and was recorded in refranchising gain in the Company’s consolidated statements of income. Also during 2025, the Company purchased two U.S. franchised stores from one of the Company’s former U.S. franchisees. The Company recorded $0.3 million of intangibles, $0.1 million of equipment and leasehold improvements and $0.5 million of goodwill.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2024, the Company refranchised two U.S. Company-owned stores for proceeds of less than $0.1 million. The pre-tax refranchising loss associated with the sale of the related assets and liabilities, including goodwill, was approximately $0.2 million and was recorded in refranchising loss in the Company’s consolidated statements of income.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2023, the Company refranchised one U.S. Company-owned store for proceeds of less than $0.1 million. The pre-tax refranchising loss associated with the sale of the related assets and liabilities, including goodwill, was approximately $0.1 million and was recorded in refranchising loss in the Company’s consolidated statements of income.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6" w:name="item9_changes_disagreements"/>
      <w:bookmarkEnd w:id="16"/>
      <w:r>
        <w:rPr>
          <w:rFonts w:ascii="Times New Roman" w:hAnsi="Times New Roman"/>
          <w:b/>
          <w:color w:val="000000"/>
          <w:sz w:val="20"/>
        </w:rPr>
        <w:t>Item 9. Changes in and Disagreements with Accountants on Accounting and Financial Disclosure.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rPr>
      </w:pPr>
      <w:bookmarkStart w:id="17" w:name="item9a_controls_procedures"/>
      <w:bookmarkEnd w:id="17"/>
      <w:r>
        <w:rPr>
          <w:rFonts w:ascii="Times New Roman" w:hAnsi="Times New Roman"/>
          <w:b/>
          <w:color w:val="000000"/>
          <w:sz w:val="20"/>
        </w:rPr>
        <w:t>Item 9A. Controls and Procedures.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Evaluation of Disclosure Controls and Procedures.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carried out an evaluation as of the end of the period covered by this report, under the supervision and with the participation of the Company’s management, including the Company’s Chief Executive Officer and Chief Financial Officer, of the effectiveness of the design and operation of the Company’s disclosure controls and procedures pursuant to Rules 13a-15 and 15d-15 of the Securities Exchange Act of 1934, as amended (the “Exchange Act”). Based upon that evaluation, the Chief Executive Officer and Chief Financial Officer concluded that the Company’s disclosure controls and procedures are effective in ensuring that all information required in the reports it files or submits under the Exchange Act was accumulated and communicated to the Company’s management, including its Chief Executive Officer and Chief Financial Officer, as appropriate to allow timely decisions regarding required disclosure and was recorded, processed, summarized and reported within the time period required by the rules and regulations of the Securities and Exchange Commission.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Changes in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have been no changes in internal control over financial reporting that occurred during the last fiscal quarter that have materially affected, or are reasonably likely to materially affect, the Company’s internal control over financial reporting.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Management’s Annual Report on Internal Control over Financial Reporting.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management of Domino’s Pizza, Inc. is responsible for establishing and maintaining adequate internal control over financial reporting. Internal control over financial reporting is defined in Rule 13a-15(f)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the Company’s management, including its Chief Executive Officer and Chief Financial Officer, the Company conducted an evaluation of the effectiveness of its internal control over financial reporting as of December 28, 2025 based on the framework in </w:t>
      </w:r>
      <w:r>
        <w:rPr>
          <w:rFonts w:ascii="Times New Roman" w:hAnsi="Times New Roman"/>
          <w:i/>
          <w:color w:val="000000"/>
          <w:sz w:val="20"/>
        </w:rPr>
        <w:t xml:space="preserve">Internal Control — Integrated Framework (2013) </w:t>
      </w:r>
      <w:r>
        <w:rPr>
          <w:rFonts w:ascii="Times New Roman" w:hAnsi="Times New Roman"/>
          <w:color w:val="000000"/>
          <w:sz w:val="20"/>
        </w:rPr>
        <w:t>issued by the Committee of Sponsoring Organizations of the Treadway Commission. Based on that evaluation, management concluded that its internal control over financial reporting was effective as of December 28, 2025. The effectiveness of the Company’s internal control over financial reporting as of December 28, 2025, has been audited by PricewaterhouseCoopers LLP, an independent registered public accounting firm, as stated in their report which appears herein.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8" w:name="item9b_other_information"/>
      <w:bookmarkEnd w:id="18"/>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Rule 10b5-1 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directors and officers (as defined in Section 16 of the Exchange Act (“Section 16”)) may from time to time enter into plans for the purchase or sale of Domino’s stock that are intended to satisfy the affirmative defense conditions of Rule 10b5-1(c) under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fiscal quarter ended December 28, 2025, the following Section 16 officer adopted a “Rule 10b5-1 trading arrangement” (as defined in Item 408 under Regulation S-K of the Exchange Act):</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Frank R. Garrido, our Executive Vice President, Chief Restaurant Officer, adopted a new Rule 10b5-1 trading arrangement on December 18, 2025. The plan’s maximum duration is until July 18, 2028, and first trades will not occur until March 19, 2026 at the earliest. The trading plan, which is subject to certain conditions, is intended to permit Mr. Garrido to exercise and sell from time to time a tranche of 950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Rule 10b5-1 trading arrangement described above was adopted and precleared in accordance with Domino’s Insider Trading Policy and actual sale transactions made pursuant to such trading arrangement will be disclosed publicly in future Section 16 filings with the SEC.</w:t>
      </w:r>
    </w:p>
    <w:p>
      <w:pPr>
        <w:pStyle w:val="TextBody"/>
        <w:bidi w:val="0"/>
        <w:jc w:val="left"/>
        <w:rPr>
          <w:rFonts w:ascii="Times New Roman" w:hAnsi="Times New Roman"/>
          <w:color w:val="000000"/>
          <w:sz w:val="20"/>
        </w:rPr>
      </w:pPr>
      <w:r>
        <w:rPr>
          <w:rFonts w:ascii="Times New Roman" w:hAnsi="Times New Roman"/>
          <w:color w:val="000000"/>
          <w:sz w:val="20"/>
        </w:rPr>
        <w:t>No other directors or officers adopted, modified and/or terminated a “Rule 10b5-1 trading arrangement” or a “non-Rule 10b5-1 trading arrangement,” as defined in Item 408 under Regulation S-K of the Exchange Act, during the last fiscal quarter.</w:t>
      </w:r>
    </w:p>
    <w:p>
      <w:pPr>
        <w:pStyle w:val="TextBody"/>
        <w:bidi w:val="0"/>
        <w:jc w:val="left"/>
        <w:rPr/>
      </w:pPr>
      <w:r>
        <w:rPr/>
        <w:t> </w:t>
      </w:r>
    </w:p>
    <w:p>
      <w:pPr>
        <w:pStyle w:val="TextBody"/>
        <w:bidi w:val="0"/>
        <w:jc w:val="left"/>
        <w:rPr>
          <w:rFonts w:ascii="Times New Roman" w:hAnsi="Times New Roman"/>
          <w:b/>
          <w:color w:val="000000"/>
          <w:sz w:val="20"/>
        </w:rPr>
      </w:pPr>
      <w:bookmarkStart w:id="19" w:name="item9c_foreign_jurisdictions"/>
      <w:bookmarkEnd w:id="19"/>
      <w:r>
        <w:rPr>
          <w:rFonts w:ascii="Times New Roman" w:hAnsi="Times New Roman"/>
          <w:b/>
          <w:color w:val="000000"/>
          <w:sz w:val="20"/>
        </w:rPr>
        <w:t>Item 9C. Disclosure Regarding Foreign Jurisdictions that Prevent Inspections.</w:t>
      </w:r>
    </w:p>
    <w:p>
      <w:pPr>
        <w:pStyle w:val="TextBody"/>
        <w:bidi w:val="0"/>
        <w:jc w:val="left"/>
        <w:rPr/>
      </w:pPr>
      <w:r>
        <w:rPr/>
        <w:t> </w:t>
      </w:r>
    </w:p>
    <w:p>
      <w:pPr>
        <w:pStyle w:val="TextBody"/>
        <w:pBdr>
          <w:top w:val="single" w:sz="6" w:space="1" w:color="FFFFFF"/>
          <w:left w:val="single" w:sz="6" w:space="1" w:color="FFFFFF"/>
          <w:bottom w:val="single" w:sz="6" w:space="1" w:color="FFFFFF"/>
          <w:right w:val="single" w:sz="6" w:space="1" w:color="FFFFFF"/>
        </w:pBdr>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jc w:val="left"/>
        <w:rPr/>
      </w:pPr>
      <w:r>
        <w:rPr/>
        <w:t> </w:t>
      </w:r>
    </w:p>
    <w:p>
      <w:pPr>
        <w:pStyle w:val="TextBody"/>
        <w:bidi w:val="0"/>
        <w:jc w:val="left"/>
        <w:rPr>
          <w:rFonts w:ascii="Times New Roman" w:hAnsi="Times New Roman"/>
          <w:b/>
          <w:color w:val="000000"/>
          <w:sz w:val="20"/>
        </w:rPr>
      </w:pPr>
      <w:bookmarkStart w:id="20" w:name="item10_directors_executiveofficers"/>
      <w:bookmarkEnd w:id="20"/>
      <w:r>
        <w:rPr>
          <w:rFonts w:ascii="Times New Roman" w:hAnsi="Times New Roman"/>
          <w:b/>
          <w:color w:val="000000"/>
          <w:sz w:val="20"/>
        </w:rPr>
        <w:t>Item 10. Directors, Executive Officers and Corporate Governance.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sets forth information about our executive officers. </w:t>
      </w:r>
    </w:p>
    <w:p>
      <w:pPr>
        <w:pStyle w:val="TextBody"/>
        <w:bidi w:val="0"/>
        <w:jc w:val="left"/>
        <w:rPr/>
      </w:pPr>
      <w:r>
        <w:rPr/>
        <w:t> </w:t>
      </w:r>
    </w:p>
    <w:tbl>
      <w:tblPr>
        <w:tblW w:w="8078" w:type="dxa"/>
        <w:jc w:val="left"/>
        <w:tblInd w:w="0" w:type="dxa"/>
        <w:tblLayout w:type="fixed"/>
        <w:tblCellMar>
          <w:top w:w="28" w:type="dxa"/>
          <w:left w:w="28" w:type="dxa"/>
          <w:bottom w:w="28" w:type="dxa"/>
          <w:right w:w="28" w:type="dxa"/>
        </w:tblCellMar>
      </w:tblPr>
      <w:tblGrid>
        <w:gridCol w:w="1936"/>
        <w:gridCol w:w="416"/>
        <w:gridCol w:w="5726"/>
      </w:tblGrid>
      <w:tr>
        <w:trPr/>
        <w:tc>
          <w:tcPr>
            <w:tcW w:w="193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726" w:type="dxa"/>
            <w:tcBorders/>
            <w:vAlign w:val="center"/>
          </w:tcPr>
          <w:p>
            <w:pPr>
              <w:pStyle w:val="TableContents"/>
              <w:bidi w:val="0"/>
              <w:spacing w:before="0" w:after="283"/>
              <w:jc w:val="left"/>
              <w:rPr>
                <w:sz w:val="4"/>
                <w:szCs w:val="4"/>
              </w:rPr>
            </w:pPr>
            <w:r>
              <w:rPr>
                <w:sz w:val="4"/>
                <w:szCs w:val="4"/>
              </w:rPr>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5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Russell J. Weiner</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57</w:t>
            </w:r>
          </w:p>
        </w:tc>
        <w:tc>
          <w:tcPr>
            <w:tcW w:w="57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Joseph H. Jordan</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52</w:t>
            </w:r>
          </w:p>
        </w:tc>
        <w:tc>
          <w:tcPr>
            <w:tcW w:w="5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Chief Operating Officer and President, Domino’s U.S.</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Sandeep Reddy</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55</w:t>
            </w:r>
          </w:p>
        </w:tc>
        <w:tc>
          <w:tcPr>
            <w:tcW w:w="57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Executive Vice President, Chief Financial Officer</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Kelly E. Garcia</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50</w:t>
            </w:r>
          </w:p>
        </w:tc>
        <w:tc>
          <w:tcPr>
            <w:tcW w:w="5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Executive Vice President, Chief Technology and Data Officer</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Frank R. Garrido</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55</w:t>
            </w:r>
          </w:p>
        </w:tc>
        <w:tc>
          <w:tcPr>
            <w:tcW w:w="57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Executive Vice President, Chief Restaurant Officer</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Cynthia A. Headen</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57</w:t>
            </w:r>
          </w:p>
        </w:tc>
        <w:tc>
          <w:tcPr>
            <w:tcW w:w="5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Executive Vice President, Chief Supply Chain Officer</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Ryan K. Mulally</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51</w:t>
            </w:r>
          </w:p>
        </w:tc>
        <w:tc>
          <w:tcPr>
            <w:tcW w:w="57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Executive Vice President, General Counsel and Corporate Secretary</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Weiking Ng</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49</w:t>
            </w:r>
          </w:p>
        </w:tc>
        <w:tc>
          <w:tcPr>
            <w:tcW w:w="5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Executive Vice President, International</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Maureen S. Pittenger</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52</w:t>
            </w:r>
          </w:p>
        </w:tc>
        <w:tc>
          <w:tcPr>
            <w:tcW w:w="57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Executive Vice President, Chief Human Resources Officer</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Katherine E. Trumbull</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44</w:t>
            </w:r>
          </w:p>
        </w:tc>
        <w:tc>
          <w:tcPr>
            <w:tcW w:w="5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Executive Vice President, Chief Marketing Officer</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Russell J. Weiner</w:t>
      </w:r>
      <w:r>
        <w:rPr>
          <w:rFonts w:ascii="Times New Roman" w:hAnsi="Times New Roman"/>
          <w:color w:val="000000"/>
          <w:sz w:val="20"/>
        </w:rPr>
        <w:t xml:space="preserve"> has served as Domino’s Chief Executive Officer since May 2022. Prior to becoming CEO, Mr. Weiner served as Chief Operating Officer and President, Domino’s U.S. from July 2020 to April 2022, Chief Operating Officer and President of the Americas from July 2018 to July 2020, President, Domino’s USA from October 2014 to July 2018 and joined Domino’s as Executive Vice President and Chief Marketing Officer in September 2008. Prior to joining Domino’s, Mr. Weiner held various marketing positions at PepsiCo, Inc. from 1998 to 2008, most recently serving as Vice President of Marketing, Colas for Pepsi-Cola North America. Mr. Weiner has served on Domino’s Board of Directors since April 2022 and also serves on the Board of Directors of The Clorox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Joseph H. Jordan</w:t>
      </w:r>
      <w:r>
        <w:rPr>
          <w:rFonts w:ascii="Times New Roman" w:hAnsi="Times New Roman"/>
          <w:color w:val="000000"/>
          <w:sz w:val="20"/>
        </w:rPr>
        <w:t xml:space="preserve"> has served as Domino’s Chief Operating Officer and President, Domino’s U.S. since March 2025. Mr. Jordan previously served as President, U.S. and Global Services from May 2022 to March 2025, Executive Vice President of International from April 2018 to April 2022, Senior Vice President and Chief Marketing Officer from May 2015 to April 2018, and joined Domino’s as Vice President of Innovation in September 2011. Prior to joining Domino’s, Mr. Jordan served most recently as Senior Director of Marketing at Pepsi-Cola North America where he worked for six years, held marketing roles at Philips Electronics and Unilever and was a consultant for Accenture. Mr. Jordan also serves on the Board of Directors of The Boston Beer Company,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Sandeep Reddy </w:t>
      </w:r>
      <w:r>
        <w:rPr>
          <w:rFonts w:ascii="Times New Roman" w:hAnsi="Times New Roman"/>
          <w:color w:val="000000"/>
          <w:sz w:val="20"/>
        </w:rPr>
        <w:t>has served as Domino’s Executive Vice President, Chief Financial Officer since April 2022. Prior to joining Domino’s, Mr. Reddy served as Executive Vice President and Chief Financial Officer of Six Flags Entertainment from July 2020 to March 2022, and as Chief Financial Officer of Guess?, Inc. from July 2013 to December 2019, after joining Guess?, Inc. in 2010 as the Vice President and European CFO. From 1997 to 2010, Mr. Reddy held a variety of positions with increasing responsibility for Mattel Inc. Mr. Reddy also serves on the Board of Directors of Masco Corporation.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Kelly E. Garcia</w:t>
      </w:r>
      <w:r>
        <w:rPr>
          <w:rFonts w:ascii="Times New Roman" w:hAnsi="Times New Roman"/>
          <w:color w:val="000000"/>
          <w:sz w:val="20"/>
        </w:rPr>
        <w:t xml:space="preserve"> has served as Domino’s Executive Vice President, Chief Technology and Data Officer since March 2025. Prior to his current role, Mr. Garcia served as Executive Vice President, Chief Technology Officer from October 2020 to March 2025 and Senior Vice President, Chief Technology Officer from April 2019 to October 2020, after joining Domino’s in July 2012 as Vice President, eCommerce Development. Prior to Domino’s, Mr. Garcia was with R.L. Polk &amp; Co. from 2004 to 2012, most recently as Vice President of Business Intelligence and North American Operations. Mr. Garcia also serves on the Board of Directors of Ulta Beauty,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Frank R. Garrido</w:t>
      </w:r>
      <w:r>
        <w:rPr>
          <w:rFonts w:ascii="Times New Roman" w:hAnsi="Times New Roman"/>
          <w:color w:val="000000"/>
          <w:sz w:val="20"/>
        </w:rPr>
        <w:t xml:space="preserve"> has served as Domino’s Executive Vice President, Chief Restaurant Officer since March 2023. From March 2021 to March 2023, Mr. Garrido served as Executive Vice President, U.S. Operations and Support. Prior to this role, Mr. Garrido served as Senior Vice President, Team USA from June 2020 to March 2021 after joining Domino’s in March 2017 as Vice President, Franchise Operations for the East region. Prior to joining Domino’s, Mr. Garrido was Vice President of Operations of Focus Brands from March 2015 to March 2017. From July 2013 to March 2015, he served as Executive Vice President of Operations, Training and Concept Development for Edible Arrangements International. Mr. Garrido has been appointed to serve on the Board of Directors of El Pollo Loco Holdings, Inc., effective March 1, 2026.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Cynthia A. Headen</w:t>
      </w:r>
      <w:r>
        <w:rPr>
          <w:rFonts w:ascii="Times New Roman" w:hAnsi="Times New Roman"/>
          <w:color w:val="000000"/>
          <w:sz w:val="20"/>
        </w:rPr>
        <w:t xml:space="preserve"> has served as Domino’s Executive Vice President, Chief Supply Chain Officer since March 2023. From August 2020 to March 2023, Ms. Headen served as Executive Vice President, Supply Chain Services. Ms. Headen previously served as Senior Vice President, Global Procurement and Supply Chain Operations from December 2018 to August 2020, after joining Domino’s as Vice President of Procurement and Replenishment in November 2015. Prior to Domino’s, Ms. Headen spent nearly 16 years with PepsiCo, where she was responsible for global procurement.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Ryan K. Mulally </w:t>
      </w:r>
      <w:r>
        <w:rPr>
          <w:rFonts w:ascii="Times New Roman" w:hAnsi="Times New Roman"/>
          <w:color w:val="000000"/>
          <w:sz w:val="20"/>
        </w:rPr>
        <w:t xml:space="preserve">has served as Domino’s Executive Vice President, General Counsel and Corporate Secretary since March 2025. Prior to his current role, Mr. Mulally served as Vice President and Assistant General Counsel from October 2018 to March 2025, Director of Corporate Counsel from October 2011 to September 2018 and joined Domino’s as Labor and Employment Counsel in August 2008. Prior to joining Domino’s, Mr. Mulally was a partner with Dickinson Wright.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Weiking Ng </w:t>
      </w:r>
      <w:r>
        <w:rPr>
          <w:rFonts w:ascii="Times New Roman" w:hAnsi="Times New Roman"/>
          <w:color w:val="000000"/>
          <w:sz w:val="20"/>
        </w:rPr>
        <w:t>has served as Domino’s Executive Vice President, International since April 2025. Prior to his current role, Mr. Ng served as Vice President, International for Asia, Middle East and Africa since 2024 after joining the Domino’s international business team in 2020. Prior to joining Domino’s, Mr. Ng served as vice president, APAC Strategy at Hilton, and has previously held leadership roles at McDonald’s, as well as time as a management consultant for Boston Consulting Group and Accenture. Mr. Ng serves on the Board of Directors of DPC Dash Ltd.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Maureen S. Pittenger </w:t>
      </w:r>
      <w:r>
        <w:rPr>
          <w:rFonts w:ascii="Times New Roman" w:hAnsi="Times New Roman"/>
          <w:color w:val="000000"/>
          <w:sz w:val="20"/>
        </w:rPr>
        <w:t>has served as Domino’s Executive Vice President, Chief Human Resources Officer since July 2024. Ms. Pittenger previously worked as Senior Vice President and Chief Human Resources Officer at Dana Inc. from February 2022 to June 2024, after joining Dana in January 2019 as the Vice President of Corporate Human Resources. Prior to that, she held escalating leadership roles in human resources at Visteon Corporation, beginning in 2001.</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Katherine E. Trumbull </w:t>
      </w:r>
      <w:r>
        <w:rPr>
          <w:rFonts w:ascii="Times New Roman" w:hAnsi="Times New Roman"/>
          <w:color w:val="000000"/>
          <w:sz w:val="20"/>
        </w:rPr>
        <w:t>has served as Domino’s Executive Vice President, Chief Marketing Officer since November 2024. Ms. Trumbull previously served as Senior Vice President, Chief Brand Officer from March 2023 to November 2024 and Senior Vice President, Brand and Product Innovation from November 2021 to March 2023. Prior to that, Ms. Trumbull held escalating leadership roles at Domino’s, including Vice President of Advertising and Hispanic Marketing, Director of Digital Marketing, Director of Loyalty and Manager of Field Marketing, beginning in 2011. Before joining Domino’s, Ms. Trumbull worked in brand management at Procter &amp; Gamble.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remaining information required by this item is incorporated by reference from Domino’s Pizza, Inc.’s definitive proxy statement, which will be filed within 120 days of December 28, 2025.</w:t>
      </w:r>
    </w:p>
    <w:p>
      <w:pPr>
        <w:pStyle w:val="TextBody"/>
        <w:bidi w:val="0"/>
        <w:jc w:val="left"/>
        <w:rPr/>
      </w:pPr>
      <w:r>
        <w:rPr/>
        <w:t> </w:t>
      </w:r>
    </w:p>
    <w:p>
      <w:pPr>
        <w:pStyle w:val="TextBody"/>
        <w:bidi w:val="0"/>
        <w:jc w:val="left"/>
        <w:rPr>
          <w:rFonts w:ascii="Times New Roman" w:hAnsi="Times New Roman"/>
          <w:sz w:val="20"/>
        </w:rPr>
      </w:pPr>
      <w:bookmarkStart w:id="21" w:name="item11_executive_compensation"/>
      <w:bookmarkEnd w:id="21"/>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Information regarding executive compensation is incorporated by reference from Domino’s Pizza, Inc.’s definitive proxy statement, which will be filed within 120 days of December 28, 2025. However, no information set forth in the proxy statement regarding the Audit Committee Report shall be deemed incorporated by reference into this Form 10-K. </w:t>
      </w:r>
    </w:p>
    <w:p>
      <w:pPr>
        <w:pStyle w:val="TextBody"/>
        <w:bidi w:val="0"/>
        <w:jc w:val="left"/>
        <w:rPr/>
      </w:pPr>
      <w:r>
        <w:rPr/>
        <w:t> </w:t>
      </w:r>
    </w:p>
    <w:p>
      <w:pPr>
        <w:pStyle w:val="TextBody"/>
        <w:bidi w:val="0"/>
        <w:jc w:val="left"/>
        <w:rPr>
          <w:rFonts w:ascii="Times New Roman" w:hAnsi="Times New Roman"/>
          <w:b/>
          <w:color w:val="000000"/>
          <w:sz w:val="20"/>
        </w:rPr>
      </w:pPr>
      <w:bookmarkStart w:id="22" w:name="item12_security_ownership"/>
      <w:bookmarkEnd w:id="22"/>
      <w:r>
        <w:rPr>
          <w:rFonts w:ascii="Times New Roman" w:hAnsi="Times New Roman"/>
          <w:b/>
          <w:color w:val="000000"/>
          <w:sz w:val="20"/>
        </w:rPr>
        <w:t>Item 12. Security Ownership of Certain Beneficial Owners and Management and Related Stockholder Matters.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Information regarding security ownership of certain beneficial owners and management and related stockholder matters is incorporated by reference from Domino’s Pizza, Inc.’s definitive proxy statement, which will be filed within 120 days of December 28, 2025.</w:t>
      </w:r>
    </w:p>
    <w:p>
      <w:pPr>
        <w:pStyle w:val="TextBody"/>
        <w:bidi w:val="0"/>
        <w:jc w:val="left"/>
        <w:rPr/>
      </w:pPr>
      <w:r>
        <w:rPr/>
        <w:t> </w:t>
      </w:r>
    </w:p>
    <w:p>
      <w:pPr>
        <w:pStyle w:val="TextBody"/>
        <w:bidi w:val="0"/>
        <w:jc w:val="left"/>
        <w:rPr>
          <w:rFonts w:ascii="Times New Roman" w:hAnsi="Times New Roman"/>
          <w:sz w:val="20"/>
        </w:rPr>
      </w:pPr>
      <w:bookmarkStart w:id="23" w:name="item13_certainrelationships"/>
      <w:bookmarkEnd w:id="23"/>
      <w:r>
        <w:rPr>
          <w:rFonts w:ascii="Times New Roman" w:hAnsi="Times New Roman"/>
          <w:b/>
          <w:color w:val="000000"/>
          <w:sz w:val="20"/>
        </w:rPr>
        <w:t>Item 13. Certain Relationships and</w:t>
      </w:r>
      <w:r>
        <w:rPr>
          <w:rFonts w:ascii="Times New Roman" w:hAnsi="Times New Roman"/>
          <w:color w:val="000000"/>
          <w:sz w:val="20"/>
        </w:rPr>
        <w:t xml:space="preserve"> </w:t>
      </w:r>
      <w:r>
        <w:rPr>
          <w:rFonts w:ascii="Times New Roman" w:hAnsi="Times New Roman"/>
          <w:b/>
          <w:color w:val="000000"/>
          <w:sz w:val="20"/>
        </w:rPr>
        <w:t>Related Transactions, and Director Independence.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Information regarding certain relationships and related transactions is incorporated by reference from Domino’s Pizza, Inc.’s definitive proxy statement, which will be filed within 120 days of December 28, 2025.</w:t>
      </w:r>
    </w:p>
    <w:p>
      <w:pPr>
        <w:pStyle w:val="TextBody"/>
        <w:bidi w:val="0"/>
        <w:jc w:val="left"/>
        <w:rPr/>
      </w:pPr>
      <w:r>
        <w:rPr/>
        <w:t> </w:t>
      </w:r>
    </w:p>
    <w:p>
      <w:pPr>
        <w:pStyle w:val="TextBody"/>
        <w:bidi w:val="0"/>
        <w:jc w:val="left"/>
        <w:rPr>
          <w:rFonts w:ascii="Times New Roman" w:hAnsi="Times New Roman"/>
          <w:b/>
          <w:color w:val="000000"/>
          <w:sz w:val="20"/>
        </w:rPr>
      </w:pPr>
      <w:bookmarkStart w:id="24" w:name="item14_principal_accountant_fees"/>
      <w:bookmarkEnd w:id="24"/>
      <w:r>
        <w:rPr>
          <w:rFonts w:ascii="Times New Roman" w:hAnsi="Times New Roman"/>
          <w:b/>
          <w:color w:val="000000"/>
          <w:sz w:val="20"/>
        </w:rPr>
        <w:t>Item 14. Principal Accountant Fees and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Information regarding principal accountant fees and services is incorporated by reference from Domino’s Pizza, Inc.’s definitive proxy statement, which will be filed within 120 days of December 28, 2025.</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IV</w:t>
      </w:r>
    </w:p>
    <w:p>
      <w:pPr>
        <w:pStyle w:val="TextBody"/>
        <w:bidi w:val="0"/>
        <w:jc w:val="left"/>
        <w:rPr>
          <w:rFonts w:ascii="Times New Roman" w:hAnsi="Times New Roman"/>
          <w:sz w:val="20"/>
        </w:rPr>
      </w:pPr>
      <w:bookmarkStart w:id="25" w:name="item15_exhibits"/>
      <w:bookmarkEnd w:id="25"/>
      <w:r>
        <w:rPr>
          <w:rFonts w:ascii="Times New Roman" w:hAnsi="Times New Roman"/>
          <w:b/>
          <w:color w:val="000000"/>
          <w:sz w:val="20"/>
        </w:rPr>
        <w:t>Item 15. Exhibits and Financial</w:t>
      </w:r>
      <w:r>
        <w:rPr>
          <w:rFonts w:ascii="Times New Roman" w:hAnsi="Times New Roman"/>
          <w:color w:val="000000"/>
          <w:sz w:val="20"/>
        </w:rPr>
        <w:t xml:space="preserve"> </w:t>
      </w:r>
      <w:r>
        <w:rPr>
          <w:rFonts w:ascii="Times New Roman" w:hAnsi="Times New Roman"/>
          <w:b/>
          <w:color w:val="000000"/>
          <w:sz w:val="20"/>
        </w:rPr>
        <w:t>Statement Schedules.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1. Financial Statements: The following financial statements for Domino’s Pizza, Inc. and subsidiaries are included in Item 8, “Financial Statements and Supplementary Data”: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Report of Independent Registered Public Accounting Firm (PCAOB ID: 238)</w:t>
      </w:r>
    </w:p>
    <w:p>
      <w:pPr>
        <w:pStyle w:val="TextBody"/>
        <w:bidi w:val="0"/>
        <w:jc w:val="left"/>
        <w:rPr>
          <w:rFonts w:ascii="Times New Roman" w:hAnsi="Times New Roman"/>
          <w:color w:val="000000"/>
          <w:sz w:val="20"/>
        </w:rPr>
      </w:pPr>
      <w:r>
        <w:rPr>
          <w:rFonts w:ascii="Times New Roman" w:hAnsi="Times New Roman"/>
          <w:color w:val="000000"/>
          <w:sz w:val="20"/>
        </w:rPr>
        <w:t>Consolidated Balance Sheets as of December 28, 2025 and December 29, 2024</w:t>
      </w:r>
    </w:p>
    <w:p>
      <w:pPr>
        <w:pStyle w:val="TextBody"/>
        <w:bidi w:val="0"/>
        <w:jc w:val="left"/>
        <w:rPr>
          <w:rFonts w:ascii="Times New Roman" w:hAnsi="Times New Roman"/>
          <w:color w:val="000000"/>
          <w:sz w:val="20"/>
        </w:rPr>
      </w:pPr>
      <w:r>
        <w:rPr>
          <w:rFonts w:ascii="Times New Roman" w:hAnsi="Times New Roman"/>
          <w:color w:val="000000"/>
          <w:sz w:val="20"/>
        </w:rPr>
        <w:t>Consolidated Statements of Income for the Years Ended December 28, 2025, December 29, 2024 and December 31, 2023</w:t>
      </w:r>
    </w:p>
    <w:p>
      <w:pPr>
        <w:pStyle w:val="TextBody"/>
        <w:bidi w:val="0"/>
        <w:jc w:val="left"/>
        <w:rPr>
          <w:rFonts w:ascii="Times New Roman" w:hAnsi="Times New Roman"/>
          <w:color w:val="000000"/>
          <w:sz w:val="20"/>
        </w:rPr>
      </w:pPr>
      <w:r>
        <w:rPr>
          <w:rFonts w:ascii="Times New Roman" w:hAnsi="Times New Roman"/>
          <w:color w:val="000000"/>
          <w:sz w:val="20"/>
        </w:rPr>
        <w:t>Consolidated Statements of Comprehensive Income for the Years Ended December 28, 2025, December 29, 2024 and December 31, 2023</w:t>
      </w:r>
    </w:p>
    <w:p>
      <w:pPr>
        <w:pStyle w:val="TextBody"/>
        <w:bidi w:val="0"/>
        <w:jc w:val="left"/>
        <w:rPr>
          <w:rFonts w:ascii="Times New Roman" w:hAnsi="Times New Roman"/>
          <w:color w:val="000000"/>
          <w:sz w:val="20"/>
        </w:rPr>
      </w:pPr>
      <w:r>
        <w:rPr>
          <w:rFonts w:ascii="Times New Roman" w:hAnsi="Times New Roman"/>
          <w:color w:val="000000"/>
          <w:sz w:val="20"/>
        </w:rPr>
        <w:t>Consolidated Statements of Stockholders’ Deficit for the Years Ended December 28, 2025, December 29, 2024 and December 31, 2023</w:t>
      </w:r>
    </w:p>
    <w:p>
      <w:pPr>
        <w:pStyle w:val="TextBody"/>
        <w:bidi w:val="0"/>
        <w:jc w:val="left"/>
        <w:rPr>
          <w:rFonts w:ascii="Times New Roman" w:hAnsi="Times New Roman"/>
          <w:color w:val="000000"/>
          <w:sz w:val="20"/>
        </w:rPr>
      </w:pPr>
      <w:r>
        <w:rPr>
          <w:rFonts w:ascii="Times New Roman" w:hAnsi="Times New Roman"/>
          <w:color w:val="000000"/>
          <w:sz w:val="20"/>
        </w:rPr>
        <w:t>Consolidated Statements of Cash Flows for the Years Ended December 28, 2025, December 29, 2024 and December 31, 2023</w:t>
      </w:r>
    </w:p>
    <w:p>
      <w:pPr>
        <w:pStyle w:val="TextBody"/>
        <w:bidi w:val="0"/>
        <w:jc w:val="left"/>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Financial Statement Schedule: The following financial statement schedule is attached to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Schedule I – Condensed Financial Information of the Registrant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other schedules are omitted because they are not applicable, not required, or the information is included in the financial statements or the notes thereto.</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Exhibits: Certain of the following Exhibits have been previously filed with the Securities and Exchange Commission pursuant to the requirements of the Securities Act of 1933 and the Securities Exchange Act of 1934. Such exhibits are identified by the parenthetical references following the listing of each such exhibit and are incorporated herein by reference.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95"/>
        <w:gridCol w:w="146"/>
        <w:gridCol w:w="9064"/>
      </w:tblGrid>
      <w:tr>
        <w:trPr/>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4" w:type="dxa"/>
            <w:tcBorders/>
            <w:vAlign w:val="center"/>
          </w:tcPr>
          <w:p>
            <w:pPr>
              <w:pStyle w:val="TableContents"/>
              <w:bidi w:val="0"/>
              <w:spacing w:before="0" w:after="283"/>
              <w:jc w:val="left"/>
              <w:rPr>
                <w:sz w:val="4"/>
                <w:szCs w:val="4"/>
              </w:rPr>
            </w:pPr>
            <w:r>
              <w:rPr>
                <w:sz w:val="4"/>
                <w:szCs w:val="4"/>
              </w:rPr>
            </w:r>
          </w:p>
        </w:tc>
      </w:tr>
      <w:tr>
        <w:trPr/>
        <w:tc>
          <w:tcPr>
            <w:tcW w:w="99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6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9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64"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Third Amended and Restated Certificate of Incorporation of Domino’s Pizza, Inc. (Incorporated by reference to Exhibit 3.1 to the registrant's Form 8-K filed on April 25, 2025 (the “April 2025 8-K”)).</w:t>
              </w:r>
            </w:hyperlink>
          </w:p>
        </w:tc>
      </w:tr>
      <w:tr>
        <w:trPr/>
        <w:tc>
          <w:tcPr>
            <w:tcW w:w="9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64"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Fifth Amended and Restated By-Laws of Domino’s Pizza, Inc. (Incorporated by reference to Exhibit 3.2 to the April 2025 8-K).</w:t>
              </w:r>
            </w:hyperlink>
          </w:p>
        </w:tc>
      </w:tr>
      <w:tr>
        <w:trPr/>
        <w:tc>
          <w:tcPr>
            <w:tcW w:w="9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64" w:type="dxa"/>
            <w:tcBorders/>
            <w:tcMar>
              <w:top w:w="0" w:type="dxa"/>
              <w:left w:w="0" w:type="dxa"/>
              <w:bottom w:w="0" w:type="dxa"/>
              <w:right w:w="0" w:type="dxa"/>
            </w:tcMar>
            <w:vAlign w:val="center"/>
          </w:tcPr>
          <w:p>
            <w:pPr>
              <w:pStyle w:val="TableContents"/>
              <w:bidi w:val="0"/>
              <w:spacing w:before="0" w:after="283"/>
              <w:jc w:val="left"/>
              <w:rPr/>
            </w:pPr>
            <w:hyperlink w:anchor="dpz-ex4_1.htm">
              <w:r>
                <w:rPr>
                  <w:rStyle w:val="InternetLink"/>
                  <w:rFonts w:ascii="Times New Roman" w:hAnsi="Times New Roman"/>
                  <w:color w:val="0000FF"/>
                  <w:sz w:val="20"/>
                  <w:u w:val="single"/>
                </w:rPr>
                <w:t>Description of Securities of the Registrant.</w:t>
              </w:r>
            </w:hyperlink>
          </w:p>
        </w:tc>
      </w:tr>
      <w:tr>
        <w:trPr/>
        <w:tc>
          <w:tcPr>
            <w:tcW w:w="9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64"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Lease Agreement dated as of December 21, 1998 by and between Domino’s Farms Office Park Limited Partnership and Domino’s, Inc. (Incorporated by reference to Exhibit 10.3 to the Domino’s, Inc. registration statement on Form S-4 filed on March 22, 1999 (Reg. No. 333-74797)).</w:t>
              </w:r>
            </w:hyperlink>
          </w:p>
        </w:tc>
      </w:tr>
      <w:tr>
        <w:trPr/>
        <w:tc>
          <w:tcPr>
            <w:tcW w:w="9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64"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Fourth Amendment to the Lease Agreement between Domino’s Farms Office Park, L.L.C. and Domino’s Pizza LLC, dated as of August 28, 2012 (Incorporated by reference to Exhibit 10.2 to the registrant’s annual report on Form 10-K for the year ended December 30, 2012 (the “2012 10-K”)).</w:t>
              </w:r>
            </w:hyperlink>
          </w:p>
        </w:tc>
      </w:tr>
      <w:tr>
        <w:trPr/>
        <w:tc>
          <w:tcPr>
            <w:tcW w:w="9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64"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Fifth Amendment to a Lease Agreement between Domino’s Farms Office Park, L.L.C. and Domino’s Pizza LLC, dated as of February 1, 2015 (Incorporated by reference to Exhibit 10.3 to the registrant’s annual report on Form 10-K for the year ended January 1, 2017 (the “2016 10-K”)).</w:t>
              </w:r>
            </w:hyperlink>
          </w:p>
        </w:tc>
      </w:tr>
      <w:tr>
        <w:trPr/>
        <w:tc>
          <w:tcPr>
            <w:tcW w:w="9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64"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Sixth Amendment to a Lease Agreement between Domino’s Farms Office Park, L.L.C. and Domino’s Pizza LLC, dated as of February 1, 2015 (Incorporated by reference to Exhibit 10.4 to the 2016 10-K).</w:t>
              </w:r>
            </w:hyperlink>
          </w:p>
        </w:tc>
      </w:tr>
      <w:tr>
        <w:trPr/>
        <w:tc>
          <w:tcPr>
            <w:tcW w:w="9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64"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Seventh Amendment to a Lease Agreement between Domino’s Farms Office Park, L.L.C. and Domino’s Pizza LLC, dated as of April 19, 2016 (Incorporated by reference to Exhibit 10.5 to the 2016 10-K).</w:t>
              </w:r>
            </w:hyperlink>
          </w:p>
        </w:tc>
      </w:tr>
      <w:tr>
        <w:trPr/>
        <w:tc>
          <w:tcPr>
            <w:tcW w:w="9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64"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Eighth Amendment to a Lease Agreement between Domino’s Farms Office Park, L.L.C. and Domino’s Pizza LLC, dated as of November 4, 2016 (Incorporated by reference to Exhibit 10.6 to the 2016 10-K).</w:t>
              </w:r>
            </w:hyperlink>
          </w:p>
        </w:tc>
      </w:tr>
      <w:tr>
        <w:trPr/>
        <w:tc>
          <w:tcPr>
            <w:tcW w:w="9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64"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Ninth Amendment to a Lease Agreement between Domino’s Farms Office Park, L.L.C. and Domino’s Pizza LLC, dated as of February 16, 2017 (Incorporated by reference to Exhibit 10.7 to the 2016 10-K).</w:t>
              </w:r>
            </w:hyperlink>
          </w:p>
        </w:tc>
      </w:tr>
      <w:tr>
        <w:trPr/>
        <w:tc>
          <w:tcPr>
            <w:tcW w:w="9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64"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Tenth Amendment to a Lease Agreement between Domino’s Farms Office Park, L.L.C. and Domino’s Pizza LLC, dated as of November 7, 2017 (Incorporated by reference to Exhibit 10.8 to the registrant’s annual report on Form 10-K for the year ended December 31, 2017 (the “2017 10-K”)).</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0"/>
        <w:gridCol w:w="146"/>
        <w:gridCol w:w="9439"/>
      </w:tblGrid>
      <w:tr>
        <w:trPr/>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39" w:type="dxa"/>
            <w:tcBorders/>
            <w:vAlign w:val="center"/>
          </w:tcPr>
          <w:p>
            <w:pPr>
              <w:pStyle w:val="TableContents"/>
              <w:bidi w:val="0"/>
              <w:spacing w:before="0" w:after="283"/>
              <w:jc w:val="left"/>
              <w:rPr>
                <w:sz w:val="4"/>
                <w:szCs w:val="4"/>
              </w:rPr>
            </w:pPr>
            <w:r>
              <w:rPr>
                <w:sz w:val="4"/>
                <w:szCs w:val="4"/>
              </w:rPr>
            </w:r>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Eleventh Amendment to a Lease Agreement between Domino’s Farms Office Park, L.L.C. and Domino’s Pizza LLC, dated as of July 13, 2018 (Incorporated by reference to Exhibit 10.1 to the registrant’s quarterly report on Form 10-Q for the quarter ended September 9, 2018 (the “September 2018 10-Q”)).</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Twelfth Amendment to a Lease Agreement between Domino’s Farms Office Park, L.L.C. and Domino’s Pizza LLC, dated as of July 13, 2018 (Incorporated by reference to Exhibit 10.2 to the September 2018 10-Q).</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Thirteenth Amendment to a Lease Agreement between Domino’s Farms Office Park, L.L.C. and Domino’s Pizza LLC, dated as of May 14, 2019 (Incorporated by reference to Exhibit 10.1 to the registrant's quarterly report on Form 10-Q for the quarter ended June 16, 2019 (the “June 2019 10-Q”)).</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Fourteenth Amendment to a Lease Agreement between Domino’s Farms Office Park, L.L.C. and Domino’s Pizza LLC, dated as of May 31, 2019 (Incorporated by reference to Exhibit 10.2 to the June 2019 10-Q).</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Fifteenth Amendment to a Lease Agreement between Domino’s Farms Office Park, L.L.C. and Domino’s Pizza LLC, dated as of July 21, 2021 (Incorporated by reference to Exhibit 10.13 to the registrant's annual report on Form 10-K for the year ended January 2, 2022 (the “2021 10-K”)).</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Sixteenth Amendment to a Lease Agreement between Domino’s Farms Office Park, L.L.C. and Domino’s Pizza LLC, dated as of July 21, 2021 (Incorporated by reference to Exhibit 10.14 to the 2021 10-K).</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Domino’s Pizza Deferred Compensation Plan effective as of October 8, 2024 (Incorporated by reference to Exhibit 10.15 to the registrant's annual report on Form 10-K for the year ended December 29, 2024 (the “2024 10-K”)).</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Amended Domino’s Pizza, Inc. 2004 Equity Incentive Plan (Incorporated by reference to Exhibit 10.1 to the registrant’s quarterly report on Form 10-Q for the quarter ended March 22, 2009 (the “March 2009 10-Q”)).</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Form of Employee Stock Option Agreement under the Amended Domino’s Pizza, Inc. 2004 Equity Incentive Plan (Incorporated by reference to Exhibit 10.8 to the 2012 10-K).</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2013 Special Employee Stock Option Agreement under the Amended Domino’s Pizza, Inc. 2004 Equity Incentive Plan (Incorporated by reference to Exhibit 10.9 to the 2012 10-K).</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Amended and Restated Domino’s Pizza Senior Executive Annual Incentive Plan (Incorporated by reference to Exhibit 10.20 to the registrant’s annual report on Form 10-K for the year ended January 2, 2011).</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Amended and Restated Domino’s Pizza, Inc. Employee Stock Payroll Deduction Plan dated as of February 21, 2023 (Incorporated by reference to Exhibit 10.1 to the registrant’s quarterly report on Form 10-Q for the quarter ended March 26, 2023 (the "March 2023 10-Q")).</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Form of Domino’s Pizza, Inc. Dividend Reinvestment &amp; Direct Stock Purchase and Sale Plan (Incorporated by reference to Exhibit 10.32 to the S-1).</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Form of 2021 Employee Stock Option Agreement under the Amended Domino’s Pizza, Inc. 2004 Equity Incentive Plan (Incorporated by reference to Exhibit 10.1 to the registrant's quarterly report on Form 10-Q for the quarter ended June 20, 2021 (the “June 2021 10-Q”)).</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Form of Performance-Based Restricted Stock Unit Award Agreement under the Amended Domino’s Pizza, Inc. 2004 Equity Incentive Plan (Incorporated by reference to Exhibit 10.2 to the June 2021 10-Q).</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Form of Restricted Stock Unit Award Agreement (three-year vesting) under the Amended Domino’s Pizza, Inc. 2004 Equity Incentive Plan (Incorporated by reference to Exhibit 10.3 to the June 2021 10-Q).</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Form of Restricted Stock Unit Award Agreement (two vesting dates) under the Amended Domino’s Pizza, Inc. 2004 Equity Incentive Plan (Incorporated by reference to Exhibit 10.1 to the registrant's quarterly report on Form 10-Q for the quarter ended September 12, 2021).</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Form of Restricted Stock Unit Award Agreement (three vesting dates) under the Amended Domino’s Pizza, Inc. 2004 Equity Incentive Plan (Incorporated by reference to Exhibit 10.6 to the registrant's quarterly report on Form 10-Q for the quarter ended March 27, 2022 (the “March 2022 10-Q”)).</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Form of Restricted Stock Unit Award Agreement (two-year vesting with acceleration events) under the Amended Domino’s Pizza, Inc. 2004 Equity Incentive Plan (Incorporated by reference to Exhibit 10.1 to the registrant's quarterly report on Form 10-Q for the quarter ended June 19, 2022 (the “June 2022 8-K”)).</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Form of Restricted Stock Unit Award Agreement (three-year vesting with acceleration events) under the Amended Domino’s Pizza, Inc. 2004 Equity Incentive Plan (Incorporated by reference to Exhibit 10.2 to the June 2022 8-K).</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0"/>
        <w:gridCol w:w="146"/>
        <w:gridCol w:w="9449"/>
      </w:tblGrid>
      <w:tr>
        <w:trPr/>
        <w:tc>
          <w:tcPr>
            <w:tcW w:w="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49" w:type="dxa"/>
            <w:tcBorders/>
            <w:vAlign w:val="center"/>
          </w:tcPr>
          <w:p>
            <w:pPr>
              <w:pStyle w:val="TableContents"/>
              <w:bidi w:val="0"/>
              <w:spacing w:before="0" w:after="283"/>
              <w:jc w:val="left"/>
              <w:rPr>
                <w:sz w:val="4"/>
                <w:szCs w:val="4"/>
              </w:rPr>
            </w:pPr>
            <w:r>
              <w:rPr>
                <w:sz w:val="4"/>
                <w:szCs w:val="4"/>
              </w:rPr>
            </w:r>
          </w:p>
        </w:tc>
      </w:tr>
      <w:tr>
        <w:trPr/>
        <w:tc>
          <w:tcPr>
            <w:tcW w:w="6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Form of 2023 Performance-Based Restricted Stock Unit Award Agreement under the Amended Domino’s Pizza, Inc. 2004 Equity Incentive Plan (Incorporated by reference to Exhibit 10.2 to the March 2023 10-Q).</w:t>
              </w:r>
            </w:hyperlink>
          </w:p>
        </w:tc>
      </w:tr>
      <w:tr>
        <w:trPr/>
        <w:tc>
          <w:tcPr>
            <w:tcW w:w="6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Form of 2023 Restricted Stock Unit Award Agreement (three-year vesting) under the Amended Domino’s Pizza, Inc. 2004 Equity Incentive Plan (Incorporated by reference to Exhibit 10.3 to the March 2023 10-Q).</w:t>
              </w:r>
            </w:hyperlink>
          </w:p>
        </w:tc>
      </w:tr>
      <w:tr>
        <w:trPr/>
        <w:tc>
          <w:tcPr>
            <w:tcW w:w="6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Form of 2023 Employee Stock Option Agreement under the Amended Domino’s Pizza, Inc. 2004 Equity Incentive Plan (Incorporated by reference to Exhibit 10.4 to the March 2023 10-Q).</w:t>
              </w:r>
            </w:hyperlink>
          </w:p>
        </w:tc>
      </w:tr>
      <w:tr>
        <w:trPr/>
        <w:tc>
          <w:tcPr>
            <w:tcW w:w="6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Form of 2023 Restricted Stock Unit Award Agreement (three vesting dates) under the Amended Domino’s Pizza, Inc. 2004 Equity Incentive Plan (Incorporated by reference to Exhibit 10.5 to the March 2023 10-Q).</w:t>
              </w:r>
            </w:hyperlink>
          </w:p>
        </w:tc>
      </w:tr>
      <w:tr>
        <w:trPr/>
        <w:tc>
          <w:tcPr>
            <w:tcW w:w="6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Form of 2023 Restricted Stock Unit Award Agreement (two vesting dates) under the Amended Domino’s Pizza, Inc. 2004 Equity Incentive Plan (Incorporated by reference to Exhibit 10.6 to the March 2023 10-Q).</w:t>
              </w:r>
            </w:hyperlink>
          </w:p>
        </w:tc>
      </w:tr>
      <w:tr>
        <w:trPr/>
        <w:tc>
          <w:tcPr>
            <w:tcW w:w="6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Form of 2023 Restricted Stock Unit Award Agreement for Directors under the Amended Domino’s Pizza, Inc. 2004 Equity Incentive Plan (Incorporated by reference to Exhibit 10.7 to the March 2023 10-Q).</w:t>
              </w:r>
            </w:hyperlink>
          </w:p>
        </w:tc>
      </w:tr>
      <w:tr>
        <w:trPr/>
        <w:tc>
          <w:tcPr>
            <w:tcW w:w="6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Amended and Restated Employment Agreement dated as of February 24, 2022 between Domino’s Pizza, Inc., Domino’s Pizza LLC and Russell J. Weiner (Incorporated by reference to Exhibit 10.1 to the registrant’s current report on Form 8-K filed on March 1, 2022 (the “March 2022 8-K”)).</w:t>
              </w:r>
            </w:hyperlink>
          </w:p>
        </w:tc>
      </w:tr>
      <w:tr>
        <w:trPr/>
        <w:tc>
          <w:tcPr>
            <w:tcW w:w="6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Employment Agreement dated as of February 25, 2022 by and between Domino’s Pizza LLC and Sandeep Reddy (Incorporated by reference to Exhibit 10.3 to the March 2022 8-K).</w:t>
              </w:r>
            </w:hyperlink>
          </w:p>
        </w:tc>
      </w:tr>
      <w:tr>
        <w:trPr/>
        <w:tc>
          <w:tcPr>
            <w:tcW w:w="6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Addendum to Amended and Restated Employment Agreement dated as of June 22, 2018 between Domino’s Pizza LLC and David A. Brandon (Incorporated by reference to Exhibit 10.1 to the registrant’s quarterly report on Form 10-Q for the quarter ended June 17, 2018 (the “June 2018 10-Q”)).</w:t>
              </w:r>
            </w:hyperlink>
          </w:p>
        </w:tc>
      </w:tr>
      <w:tr>
        <w:trPr/>
        <w:tc>
          <w:tcPr>
            <w:tcW w:w="6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Second Addendum to Amended and Restated Employment Agreement dated as of December 29, 2018 between Domino’s Pizza LLC and David A. Brandon (Incorporated by reference to Exhibit 10.39 to the registrant’s annual report on Form 10-K for the year ended December 30, 2018 (the “December 2018 10-K”)).</w:t>
              </w:r>
            </w:hyperlink>
          </w:p>
        </w:tc>
      </w:tr>
      <w:tr>
        <w:trPr/>
        <w:tc>
          <w:tcPr>
            <w:tcW w:w="6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Third Addendum to Amended and Restated Employment Agreement dated as of January 30, 2020 between Domino’s Pizza LLC and David A. Brandon (Incorporated by reference to Exhibit 10.1 to the registrant’s quarterly report on Form 10-Q for the quarter ended March 22, 2020).</w:t>
              </w:r>
            </w:hyperlink>
          </w:p>
        </w:tc>
      </w:tr>
      <w:tr>
        <w:trPr/>
        <w:tc>
          <w:tcPr>
            <w:tcW w:w="6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Amended and Restated Employment Agreement dated as of March 2, 2022 by and between Domino’s Pizza LLC and Joseph H. Jordan (Incorporated by reference to Exhibit 10.1 to the registrant’s current report on Form 8-K filed on March 4, 2022).</w:t>
              </w:r>
            </w:hyperlink>
          </w:p>
        </w:tc>
      </w:tr>
      <w:tr>
        <w:trPr/>
        <w:tc>
          <w:tcPr>
            <w:tcW w:w="6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Employment Agreement dated as of September 21, 2020 by and between Domino’s Pizza LLC and Kelly E. Garcia. (Incorporated by reference to Exhibit 10.54 to the 2023 10-K).</w:t>
              </w:r>
            </w:hyperlink>
          </w:p>
        </w:tc>
      </w:tr>
      <w:tr>
        <w:trPr/>
        <w:tc>
          <w:tcPr>
            <w:tcW w:w="6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Employment Agreement dated as of July 30, 2020 by and between Domino’s Pizza LLC and Arthur P. D’Elia. (Incorporated by reference to Exhibit 10.55 to the 2023 10-K).</w:t>
              </w:r>
            </w:hyperlink>
          </w:p>
        </w:tc>
      </w:tr>
      <w:tr>
        <w:trPr/>
        <w:tc>
          <w:tcPr>
            <w:tcW w:w="6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Letter Agreement dated as of February 24, 2022 by and between Domino’s Pizza LLC and Arthur P. D’Elia (Incorporated by reference to Exhibit 10.44 to the 2024 10-K).</w:t>
              </w:r>
            </w:hyperlink>
          </w:p>
        </w:tc>
      </w:tr>
      <w:tr>
        <w:trPr/>
        <w:tc>
          <w:tcPr>
            <w:tcW w:w="6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Separation Agreement and General Release dated as of October 21, 2024 by and between Domino's Pizza LLC and Arthur P. D'Elia (Incorporated by reference to Exhibit 10.45 to the 2024 10-K).</w:t>
              </w:r>
            </w:hyperlink>
            <w:hyperlink r:id="rId49">
              <w:r>
                <w:rPr>
                  <w:rStyle w:val="InternetLink"/>
                  <w:rFonts w:ascii="Times New Roman" w:hAnsi="Times New Roman"/>
                  <w:color w:val="0000FF"/>
                  <w:sz w:val="20"/>
                </w:rPr>
                <w:t xml:space="preserve"> </w:t>
              </w:r>
            </w:hyperlink>
          </w:p>
        </w:tc>
      </w:tr>
      <w:tr>
        <w:trPr/>
        <w:tc>
          <w:tcPr>
            <w:tcW w:w="6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hyperlink w:anchor="dpz-ex10_44.htm">
              <w:r>
                <w:rPr>
                  <w:rStyle w:val="InternetLink"/>
                  <w:rFonts w:ascii="Times New Roman" w:hAnsi="Times New Roman"/>
                  <w:color w:val="0000FF"/>
                  <w:sz w:val="20"/>
                  <w:u w:val="single"/>
                </w:rPr>
                <w:t>Employment Agreement dated as of August 3, 2020 by and between Domino’s Pizza LLC and Cynthia A. Headen.</w:t>
              </w:r>
            </w:hyperlink>
          </w:p>
        </w:tc>
      </w:tr>
      <w:tr>
        <w:trPr/>
        <w:tc>
          <w:tcPr>
            <w:tcW w:w="6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Form of Indemnification Agreement (Incorporated by reference to Exhibit 10.3 to the June 2022 10-Q).</w:t>
              </w:r>
            </w:hyperlink>
          </w:p>
        </w:tc>
      </w:tr>
      <w:tr>
        <w:trPr/>
        <w:tc>
          <w:tcPr>
            <w:tcW w:w="6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Amended and Restated Base Indenture dated March 15, 2012 among Domino’s Pizza Master Issuer LLC, Domino’s Pizza Distribution LLC, Domino’s IP Holder LLC and Domino’s SPV Canadian Holding Company Inc., each as Co-Issuer, and Citibank, N.A., as Trustee and Securities Intermediary (Incorporated by reference to Exhibit 4.1 to the registrant’s current report on Form 8-K filed on March 19, 2012 (the “March 2012 8-K”)).</w:t>
              </w:r>
            </w:hyperlink>
          </w:p>
        </w:tc>
      </w:tr>
      <w:tr>
        <w:trPr/>
        <w:tc>
          <w:tcPr>
            <w:tcW w:w="6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First Supplement dated as of September 16, 2013 to the Amended and Restated Base Indenture dated as of March 15, 2012 (Incorporated by reference to Exhibit 4.1 to the registrant’s current report on Form 8-K filed on October 22, 2015 (the “October 2015 8-K”)).</w:t>
              </w:r>
            </w:hyperlink>
          </w:p>
        </w:tc>
      </w:tr>
      <w:tr>
        <w:trPr/>
        <w:tc>
          <w:tcPr>
            <w:tcW w:w="6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Second Supplement dated as of October 21, 2015 to the Amended and Restated Base Indenture dated as of March 15, 2012</w:t>
              </w:r>
            </w:hyperlink>
            <w:hyperlink r:id="rId54">
              <w:r>
                <w:rPr>
                  <w:rStyle w:val="InternetLink"/>
                  <w:rFonts w:ascii="Times New Roman" w:hAnsi="Times New Roman"/>
                  <w:color w:val="0000FF"/>
                  <w:sz w:val="20"/>
                </w:rPr>
                <w:t xml:space="preserve"> </w:t>
              </w:r>
            </w:hyperlink>
            <w:hyperlink r:id="rId55">
              <w:r>
                <w:rPr>
                  <w:rStyle w:val="InternetLink"/>
                  <w:rFonts w:ascii="Times New Roman" w:hAnsi="Times New Roman"/>
                  <w:color w:val="0000FF"/>
                  <w:sz w:val="20"/>
                  <w:u w:val="single"/>
                </w:rPr>
                <w:t>(Incorporated by reference to Exhibit 4.2 to the October 2015 8-K).</w:t>
              </w:r>
            </w:hyperlink>
          </w:p>
        </w:tc>
      </w:tr>
      <w:tr>
        <w:trPr/>
        <w:tc>
          <w:tcPr>
            <w:tcW w:w="6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hyperlink r:id="rId56">
              <w:r>
                <w:rPr>
                  <w:rStyle w:val="InternetLink"/>
                  <w:rFonts w:ascii="Times New Roman" w:hAnsi="Times New Roman"/>
                  <w:color w:val="0000FF"/>
                  <w:sz w:val="20"/>
                  <w:u w:val="single"/>
                </w:rPr>
                <w:t>Third Supplement dated as of October 21, 2015 to the Amended and Restated Base Indenture dated as of March 15, 2012</w:t>
              </w:r>
            </w:hyperlink>
            <w:hyperlink r:id="rId57">
              <w:r>
                <w:rPr>
                  <w:rStyle w:val="InternetLink"/>
                  <w:rFonts w:ascii="Times New Roman" w:hAnsi="Times New Roman"/>
                  <w:color w:val="0000FF"/>
                  <w:sz w:val="20"/>
                </w:rPr>
                <w:t xml:space="preserve"> </w:t>
              </w:r>
            </w:hyperlink>
            <w:hyperlink r:id="rId58">
              <w:r>
                <w:rPr>
                  <w:rStyle w:val="InternetLink"/>
                  <w:rFonts w:ascii="Times New Roman" w:hAnsi="Times New Roman"/>
                  <w:color w:val="0000FF"/>
                  <w:sz w:val="20"/>
                  <w:u w:val="single"/>
                </w:rPr>
                <w:t>(Incorporated by reference to Exhibit 4.3 to the October 2015 8-K).</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
        <w:gridCol w:w="146"/>
        <w:gridCol w:w="9473"/>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73"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59">
              <w:r>
                <w:rPr>
                  <w:rStyle w:val="InternetLink"/>
                  <w:rFonts w:ascii="Times New Roman" w:hAnsi="Times New Roman"/>
                  <w:color w:val="0000FF"/>
                  <w:sz w:val="20"/>
                  <w:u w:val="single"/>
                </w:rPr>
                <w:t>Fourth Supplement dated as of July 24, 2017 to the Amended and Restated Base Indenture dated as of March 15, 2012 by and among Domino’s Pizza Master Issuer LLC, Domino’s SPV Canadian Holding Company Inc., Domino’s Pizza Distribution LLC and Domino’s IP Holder LLC, each as Co-Issuer, and Citibank, N.A., as Trustee and Securities Intermediary (Incorporated by reference to Exhibit 4.1 to the Domino’s Pizza, Inc. Current Report on Form 8-K, filed on July 25, 2017 (the “July 2017 8-K”)).</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60">
              <w:r>
                <w:rPr>
                  <w:rStyle w:val="InternetLink"/>
                  <w:rFonts w:ascii="Times New Roman" w:hAnsi="Times New Roman"/>
                  <w:color w:val="0000FF"/>
                  <w:sz w:val="20"/>
                  <w:u w:val="single"/>
                </w:rPr>
                <w:t>Fifth Supplement dated as of November 21, 2018 to the Amended and Restated Base Indenture dated as of March 15, 2012 by and among Domino’s Pizza Master Issuer LLC, Domino’s SPV Canadian Holding Company Inc., Domino’s Pizza Distribution LLC and Domino’s IP Holder LLC, each as Co-Issuer, and Citibank, N.A., as Trustee and Securities Intermediary. (Incorporated by reference to Exhibit 10.49 to the registrant’s annual report on Form 10-K for the year ended December 29, 2019).</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61">
              <w:r>
                <w:rPr>
                  <w:rStyle w:val="InternetLink"/>
                  <w:rFonts w:ascii="Times New Roman" w:hAnsi="Times New Roman"/>
                  <w:color w:val="0000FF"/>
                  <w:sz w:val="20"/>
                  <w:u w:val="single"/>
                </w:rPr>
                <w:t>Sixth Supplement dated as of April 16, 2021 to the Amended and Restated Base Indenture dated as of March 15, 2012 by and among Domino’s Pizza Master Issuer LLC, Domino’s SPV Canadian Holding Company Inc., Domino’s Pizza Distribution LLC and Domino’s IP Holder LLC, each as Co-Issuer, and Citibank, N.A., as Trustee and Securities Intermediary (Incorporated by reference to Exhibit 4.1 to the registrant’s Current Report on Form 8-K filed on April 20, 2021 (the “April 2021 8-K”)).</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62">
              <w:r>
                <w:rPr>
                  <w:rStyle w:val="InternetLink"/>
                  <w:rFonts w:ascii="Times New Roman" w:hAnsi="Times New Roman"/>
                  <w:color w:val="0000FF"/>
                  <w:sz w:val="20"/>
                  <w:u w:val="single"/>
                </w:rPr>
                <w:t>Seventh Supplement dated as of December 30, 2021 to the Amended and Restated Base Indenture dated as of March 15, 2012 by and among Domino’s Pizza Master Issuer LLC, Domino’s SPV Canadian Holding Company Inc., Domino’s Pizza Distribution LLC and Domino’s IP Holder LLC, each as Co-Issuer, and Citibank, N.A., as Trustee and Securities Intermediary (Incorporated by reference to Exhibit 10.62 to the 2021 10-K).</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63">
              <w:r>
                <w:rPr>
                  <w:rStyle w:val="InternetLink"/>
                  <w:rFonts w:ascii="Times New Roman" w:hAnsi="Times New Roman"/>
                  <w:color w:val="0000FF"/>
                  <w:sz w:val="20"/>
                  <w:u w:val="single"/>
                </w:rPr>
                <w:t>Eighth Supplement dated as of July 23, 2024 to the Amended and Restated Base Indenture dated as of March 15, 2012 by and among Domino’s Pizza Master Issuer LLC, Domino’s SPV Canadian Holding Company Inc., Domino’s Pizza Distribution LLC and Domino’s IP Holder LLC, each as Co-Issuer, and Citibank, N.A., as Trustee and Securities Intermediary. (Incorporated by reference to Exhibit 10.1 to the registrant’s quarterly report on Form 10-Q for the quarter ended September 8, 2024).</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64">
              <w:r>
                <w:rPr>
                  <w:rStyle w:val="InternetLink"/>
                  <w:rFonts w:ascii="Times New Roman" w:hAnsi="Times New Roman"/>
                  <w:color w:val="0000FF"/>
                  <w:sz w:val="20"/>
                  <w:u w:val="single"/>
                </w:rPr>
                <w:t>Ninth Supplement to the Amended and Restated Base Indenture, dated as of September 5, 2025, by and among Domino’s Pizza Master Issuer LLC, Domino’s SPV Canadian Holding Company Inc., Domino’s Pizza Distribution LLC, Domino’s Progressive Foods Distribution LLC and Domino’s IP Holder LLC, each as Co-Issuer, and Citibank, N.A., as Trustee and Securities Intermediary (Incorporated by reference to Exhibit 4.1 to the registrant’s Current Report on Form 8-K filed on September 8, 2025 (the “September 2025 8-K”)).</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65">
              <w:r>
                <w:rPr>
                  <w:rStyle w:val="InternetLink"/>
                  <w:rFonts w:ascii="Times New Roman" w:hAnsi="Times New Roman"/>
                  <w:color w:val="0000FF"/>
                  <w:sz w:val="20"/>
                  <w:u w:val="single"/>
                </w:rPr>
                <w:t>Series 2017-1 Supplement dated as of July 24, 2017 by and among Domino’s Pizza Master Issuer LLC, Domino’s SPV Canadian Holding Company Inc., Domino’s Pizza Distribution LLC and Domino’s IP Holder LLC, each as Co-Issuer, and Citibank, N.A., as Trustee, Series 2017-1 Securities Intermediary and Calculation Agent (Incorporated by reference to Exhibit 4.2 to the July 2017 8-K).</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66">
              <w:r>
                <w:rPr>
                  <w:rStyle w:val="InternetLink"/>
                  <w:rFonts w:ascii="Times New Roman" w:hAnsi="Times New Roman"/>
                  <w:color w:val="0000FF"/>
                  <w:sz w:val="20"/>
                  <w:u w:val="single"/>
                </w:rPr>
                <w:t>Supplemental Indenture, dated as of April 24, 2018, among Domino’s Pizza Master Issuer LLC, Domino’s SPV Canadian Holding Company Inc., Domino’s Pizza Distribution LLC and Domino’s IP Holder LLC, each as Co-Issuer of Series 2018-1 4.116% Fixed Rate Senior Secured Notes, Class A-2-I and Series 2018-1 4.328% Fixed Rate Senior Secured Notes, Class A-2-II, and Citibank, N.A., as Trustee and Securities Intermediary (Incorporated by reference to Exhibit 4.1 to the registrant’s current report on Form 8-K filed on April 25, 2018 (the “April 2018 8-K”)).</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67">
              <w:r>
                <w:rPr>
                  <w:rStyle w:val="InternetLink"/>
                  <w:rFonts w:ascii="Times New Roman" w:hAnsi="Times New Roman"/>
                  <w:color w:val="0000FF"/>
                  <w:sz w:val="20"/>
                  <w:u w:val="single"/>
                </w:rPr>
                <w:t>Supplemental Indenture, dated November 19, 2019, among Domino’s Pizza Master Issuer LLC, Domino’s SPV Canadian Holding Company Inc., Domino’s Pizza Distribution LLC and Domino’s IP Holder LLC, each as Co-Issuer of Series 2019-1 3.668% Fixed Rate Senior Secured Notes, Class A-2, and Citibank, N.A., as Trustee and Securities Intermediary (Incorporated by reference to Exhibit 4.1 to the registrant’s current report on Form 8-K filed on November 19, 2019 (the “November 2019 8-K”)).</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68">
              <w:r>
                <w:rPr>
                  <w:rStyle w:val="InternetLink"/>
                  <w:rFonts w:ascii="Times New Roman" w:hAnsi="Times New Roman"/>
                  <w:color w:val="0000FF"/>
                  <w:sz w:val="20"/>
                  <w:u w:val="single"/>
                </w:rPr>
                <w:t>Supplemental Indenture, dated April 16, 2021, among Domino’s Pizza Master Issuer LLC, Domino’s SPV Canadian Holding Company Inc., Domino’s Pizza Distribution LLC and Domino’s IP Holder LLC, each as Co-Issuer of Series 2021-1 2.662% Fixed Rate Senior Secured Notes, Class A-2-I and Series 2021-1 3.151% Fixed Rate Senior Secured Notes, Class A-2-II, and Citibank, N.A., as Trustee and Securities Intermediary (Incorporated by reference to Exhibit 4.2 to the April 2021 8-K).</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jc w:val="left"/>
              <w:rPr/>
            </w:pPr>
            <w:hyperlink r:id="rId69">
              <w:r>
                <w:rPr>
                  <w:rStyle w:val="InternetLink"/>
                  <w:rFonts w:ascii="Times New Roman" w:hAnsi="Times New Roman"/>
                  <w:color w:val="0000FF"/>
                  <w:sz w:val="20"/>
                  <w:u w:val="single"/>
                </w:rPr>
                <w:t>Series 2025-1 Supplement to the Amended and Restated Base Indenture, dated September 5, 2025, among Domino’s Pizza Master Issuer LLC, Domino’s SPV Canadian Holding Company Inc., Domino’s Pizza Distribution LLC, Domino’s Progressive Foods Distribution LLC and Domino’s IP Holder LLC, each as Co-Issuer of Series 2025-1 4.930% Fixed Rate Senior Secured Notes, Class A-2-I and Series 2025-1 5.217% Fixed Rate Senior Secured Notes, Class A-2-II, and Citibank, N.A., as Trustee and Securities Intermediary (Incorporated by reference to Exhibit 4.2 to the September 2025 8-K).</w:t>
              </w:r>
            </w:hyperlink>
          </w:p>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
        <w:gridCol w:w="146"/>
        <w:gridCol w:w="9473"/>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73"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70">
              <w:r>
                <w:rPr>
                  <w:rStyle w:val="InternetLink"/>
                  <w:rFonts w:ascii="Times New Roman" w:hAnsi="Times New Roman"/>
                  <w:color w:val="0000FF"/>
                  <w:sz w:val="20"/>
                  <w:u w:val="single"/>
                </w:rPr>
                <w:t>Purchase Agreement dated as of June 12, 2017 among Domino’s Pizza Master Issuer LLC, Domino’s SPV Canadian Holding Company Inc., Domino’s Pizza Distribution LLC and Domino’s IP Holder LLC, each as Co-Issuer, Domino’s SPV Guarantor LLC, Domino’s Pizza Franchising LLC, Domino’s Pizza International Franchising Inc., Domino’s Pizza Canadian Distribution ULC, Domino’s RE LLC and Domino’s EQ LLC, each as Guarantor, Domino’s Pizza LLC, as manager, Domino’s Pizza, Inc. and Domino’s Inc., as parent companies, and Guggenheim Securities, LLC and Barclays Capital Inc., as initial purchasers (Incorporated by reference to Exhibit 10.1 to the Domino’s Pizza, Inc. Current Report on Form 8-K, filed on June 14, 2017 (the “June 2017 8-K”)).</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71">
              <w:r>
                <w:rPr>
                  <w:rStyle w:val="InternetLink"/>
                  <w:rFonts w:ascii="Times New Roman" w:hAnsi="Times New Roman"/>
                  <w:color w:val="0000FF"/>
                  <w:sz w:val="20"/>
                  <w:u w:val="single"/>
                </w:rPr>
                <w:t>Purchase Agreement, dated April 18, 2018, by and among Domino’s Pizza Master Issuer LLC, Domino’s SPV Canadian Holding Company Inc., Domino’s Pizza Distribution LLC, Domino’s IP Holder LLC, Domino’s Pizza, Inc., Domino’s Pizza LLC, Domino’s, Inc., the guarantors party thereto and Guggenheim Securities, LLC, as representative of the initial purchasers named in Schedule I thereto (Incorporated by reference to Exhibit 1.1 to the April 2018 8-K).</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72">
              <w:r>
                <w:rPr>
                  <w:rStyle w:val="InternetLink"/>
                  <w:rFonts w:ascii="Times New Roman" w:hAnsi="Times New Roman"/>
                  <w:color w:val="0000FF"/>
                  <w:sz w:val="20"/>
                  <w:u w:val="single"/>
                </w:rPr>
                <w:t>Purchase Agreement, dated November 6, 2019, among Domino’s Pizza Master Issuer LLC, Domino’s SPV Canadian Holding Company Inc., Domino’s Pizza Distribution LLC and Domino’s IP Holder LLC, each as Co-Issuer, Domino’s SPV Guarantor LLC, Domino’s Pizza Franchising LLC, Domino’s Pizza International Franchising Inc., Domino’s Pizza Canadian Distribution ULC, Domino’s RE LLC and Domino’s EQ LLC, each as Guarantor, Domino’s Pizza LLC, as manager, the Company and Domino’s Inc., as parent companies, and Guggenheim Securities, LLC and Barclays Capital Inc., as initial purchasers (Incorporated by reference to Exhibit 99.1 to the registrant’s Current Report on Form 8-K filed on November 7, 2019).</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jc w:val="left"/>
              <w:rPr/>
            </w:pPr>
            <w:hyperlink r:id="rId73">
              <w:r>
                <w:rPr>
                  <w:rStyle w:val="InternetLink"/>
                  <w:rFonts w:ascii="Times New Roman" w:hAnsi="Times New Roman"/>
                  <w:color w:val="0000FF"/>
                  <w:sz w:val="20"/>
                  <w:u w:val="single"/>
                </w:rPr>
                <w:t>Purchase Agreement, dated April 8, 2021, among Domino’s Pizza Master Issuer LLC, Domino’s SPV Canadian Holding Company Inc., Domino’s Pizza Distribution LLC and Domino’s IP Holder LLC, each as Co-Issuer, Domino’s SPV Guarantor LLC, Domino’s Pizza Franchising LLC, Domino’s Pizza</w:t>
              </w:r>
            </w:hyperlink>
          </w:p>
          <w:p>
            <w:pPr>
              <w:pStyle w:val="TableContents"/>
              <w:bidi w:val="0"/>
              <w:spacing w:before="0" w:after="283"/>
              <w:jc w:val="left"/>
              <w:rPr/>
            </w:pPr>
            <w:hyperlink r:id="rId74">
              <w:r>
                <w:rPr>
                  <w:rStyle w:val="InternetLink"/>
                  <w:rFonts w:ascii="Times New Roman" w:hAnsi="Times New Roman"/>
                  <w:color w:val="0000FF"/>
                  <w:sz w:val="20"/>
                  <w:u w:val="single"/>
                </w:rPr>
                <w:t>International Franchising Inc., Domino’s Pizza Canadian Distribution ULC, Domino’s RE LLC and Domino’s EQ LLC, each as Guarantor, Domino’s Pizza LLC, as manager, the Company and Domino’s Inc., as parent companies, and Guggenheim Securities, LLC and Barclays Capital Inc., as initial purchasers (Incorporated by reference to Exhibit 99.1 to the registrant’s Current Report on Form 8-K filed on April 9, 2021).</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75">
              <w:r>
                <w:rPr>
                  <w:rStyle w:val="InternetLink"/>
                  <w:rFonts w:ascii="Times New Roman" w:hAnsi="Times New Roman"/>
                  <w:color w:val="0000FF"/>
                  <w:sz w:val="20"/>
                  <w:u w:val="single"/>
                </w:rPr>
                <w:t>Purchase Agreement, dated August 12, 2025, among Domino’s Pizza Master Issuer LLC, Domino’s SPV Canadian Holding Company Inc., Domino’s Pizza Distribution LLC, Domino’s Progressive Foods Distribution LLC and Domino’s IP Holder LLC, each as Co-Issuer, Domino’s SPV Guarantor LLC, Domino’s Pizza Franchising LLC, Domino’s Pizza International Franchising Inc., Domino’s Pizza Canadian Distribution ULC, Domino’s RE LLC and Domino’s EQ LLC, each as Guarantor, Domino’s Pizza LLC, as manager, Domino’s Pizza, Inc. and Domino’s, Inc., as parent companies, and Barclays Capital Inc. and Guggenheim Securities, LLC, as initial purchasers (Incorporated by reference to Exhibit 99.1 to the registrant’s Current Report on Form 8-K filed on August 13, 2025).</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76">
              <w:r>
                <w:rPr>
                  <w:rStyle w:val="InternetLink"/>
                  <w:rFonts w:ascii="Times New Roman" w:hAnsi="Times New Roman"/>
                  <w:color w:val="0000FF"/>
                  <w:sz w:val="20"/>
                  <w:u w:val="single"/>
                </w:rPr>
                <w:t>Class A-1 Note Purchase Agreement, dated September 5, 2025, among Domino’s Pizza Master Issuer LLC, Domino’s SPV Canadian Holding Company Inc., Domino’s Pizza Distribution LLC, Domino’s Progressive Foods Distribution LLC and Domino’s IP Holder LLC, each as Co-Issuer, Domino’s SPV Guarantor LLC, Domino’s Pizza Franchising LLC, Domino’s Pizza International Franchising Inc., Domino’s Pizza Canadian Distribution ULC, Domino’s RE LLC, Domino’s EQ LLC and Domino’s Pizza International Franchising of Michigan LLC, each as Guarantor, Domino’s Pizza LLC, as manager, certain conduit investors, financial institutions and funding agents, and Coöperatieve Rabobank U.A., New York Branch, as provider of letters of credit, as swingline lender and as administrative agent (Incorporated by reference to Exhibit 10.1 to the September 2025 8-K).</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77">
              <w:r>
                <w:rPr>
                  <w:rStyle w:val="InternetLink"/>
                  <w:rFonts w:ascii="Times New Roman" w:hAnsi="Times New Roman"/>
                  <w:color w:val="0000FF"/>
                  <w:sz w:val="20"/>
                  <w:u w:val="single"/>
                </w:rPr>
                <w:t>Amended and Restated Management Agreement, dated as of September 5, 2025, among Domino’s Pizza Master Issuer LLC, certain subsidiaries of Domino’s Pizza Master Issuer LLC party thereto, Domino’s SPV Guarantor LLC, Domino’s Pizza LLC, as manager and in its individual capacity, Domino’s Pizza NS Co., and Citibank, N.A., as Trustee (Incorporated by reference to Exhibit 10.3 to the September 2025 8-K).</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78">
              <w:r>
                <w:rPr>
                  <w:rStyle w:val="InternetLink"/>
                  <w:rFonts w:ascii="Times New Roman" w:hAnsi="Times New Roman"/>
                  <w:color w:val="0000FF"/>
                  <w:sz w:val="20"/>
                  <w:u w:val="single"/>
                </w:rPr>
                <w:t>Amended and Restated Parent Company Support Agreement dated September 5, 2025 made by Domino’s Pizza, Inc. in favor of Citibank, N.A., as Trustee (Incorporated by reference to Exhibit 10.4 to the September 2025 8-K).</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79">
              <w:r>
                <w:rPr>
                  <w:rStyle w:val="InternetLink"/>
                  <w:rFonts w:ascii="Times New Roman" w:hAnsi="Times New Roman"/>
                  <w:color w:val="0000FF"/>
                  <w:sz w:val="20"/>
                  <w:u w:val="single"/>
                </w:rPr>
                <w:t>Omnibus Amendment and Reaffirmation Agreement, dated as of September 5, 2025, among Domino’s Pizza Master Issuer LLC, certain subsidiaries of Domino’s Pizza Master Issuer LLC party thereto, Domino’s SPV Guarantor LLC, Domino’s Pizza LLC, as manager and in its individual capacity, Domino’s Pizza NS Co., Progressive Food Solutions LLC, Domino’s Pizza, Inc., Barclays Capital Inc., as Initial Purchaser Representative, Midland Loan Services, a division of PNC Bank, National Association, as Servicer and Control Party, FTI Consulting, Inc., a Maryland corporation, as Back-Up</w:t>
              </w:r>
            </w:hyperlink>
            <w:hyperlink r:id="rId80">
              <w:r>
                <w:rPr>
                  <w:rStyle w:val="InternetLink"/>
                  <w:rFonts w:ascii="Times New Roman" w:hAnsi="Times New Roman"/>
                  <w:color w:val="0000FF"/>
                  <w:sz w:val="20"/>
                </w:rPr>
                <w:t xml:space="preserve"> </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0"/>
        <w:gridCol w:w="146"/>
        <w:gridCol w:w="9339"/>
      </w:tblGrid>
      <w:tr>
        <w:trPr/>
        <w:tc>
          <w:tcPr>
            <w:tcW w:w="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9" w:type="dxa"/>
            <w:tcBorders/>
            <w:vAlign w:val="center"/>
          </w:tcPr>
          <w:p>
            <w:pPr>
              <w:pStyle w:val="TableContents"/>
              <w:bidi w:val="0"/>
              <w:spacing w:before="0" w:after="283"/>
              <w:jc w:val="left"/>
              <w:rPr>
                <w:sz w:val="4"/>
                <w:szCs w:val="4"/>
              </w:rPr>
            </w:pPr>
            <w:r>
              <w:rPr>
                <w:sz w:val="4"/>
                <w:szCs w:val="4"/>
              </w:rPr>
            </w:r>
          </w:p>
        </w:tc>
      </w:tr>
      <w:tr>
        <w:trPr/>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tcMar>
              <w:top w:w="0" w:type="dxa"/>
              <w:left w:w="0" w:type="dxa"/>
              <w:bottom w:w="0" w:type="dxa"/>
              <w:right w:w="0" w:type="dxa"/>
            </w:tcMar>
            <w:vAlign w:val="center"/>
          </w:tcPr>
          <w:p>
            <w:pPr>
              <w:pStyle w:val="TableContents"/>
              <w:bidi w:val="0"/>
              <w:spacing w:before="0" w:after="283"/>
              <w:jc w:val="left"/>
              <w:rPr/>
            </w:pPr>
            <w:hyperlink r:id="rId81">
              <w:r>
                <w:rPr>
                  <w:rStyle w:val="InternetLink"/>
                  <w:rFonts w:ascii="Times New Roman" w:hAnsi="Times New Roman"/>
                  <w:color w:val="0000FF"/>
                  <w:sz w:val="20"/>
                  <w:u w:val="single"/>
                </w:rPr>
                <w:t>Manager, and Citibank, N.A., as Trustee (Incorporated by reference to Exhibit 10.2 to the September 2025 8-K).</w:t>
              </w:r>
            </w:hyperlink>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tcMar>
              <w:top w:w="0" w:type="dxa"/>
              <w:left w:w="0" w:type="dxa"/>
              <w:bottom w:w="0" w:type="dxa"/>
              <w:right w:w="0" w:type="dxa"/>
            </w:tcMar>
            <w:vAlign w:val="center"/>
          </w:tcPr>
          <w:p>
            <w:pPr>
              <w:pStyle w:val="TableContents"/>
              <w:bidi w:val="0"/>
              <w:spacing w:before="0" w:after="283"/>
              <w:jc w:val="left"/>
              <w:rPr/>
            </w:pPr>
            <w:hyperlink w:anchor="dpz-ex10_69.htm">
              <w:r>
                <w:rPr>
                  <w:rStyle w:val="InternetLink"/>
                  <w:rFonts w:ascii="Times New Roman" w:hAnsi="Times New Roman"/>
                  <w:color w:val="0000FF"/>
                  <w:sz w:val="20"/>
                  <w:u w:val="single"/>
                </w:rPr>
                <w:t>Board of Directors’ Compensation.</w:t>
              </w:r>
            </w:hyperlink>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tcMar>
              <w:top w:w="0" w:type="dxa"/>
              <w:left w:w="0" w:type="dxa"/>
              <w:bottom w:w="0" w:type="dxa"/>
              <w:right w:w="0" w:type="dxa"/>
            </w:tcMar>
            <w:vAlign w:val="center"/>
          </w:tcPr>
          <w:p>
            <w:pPr>
              <w:pStyle w:val="TableContents"/>
              <w:bidi w:val="0"/>
              <w:spacing w:before="0" w:after="283"/>
              <w:jc w:val="left"/>
              <w:rPr/>
            </w:pPr>
            <w:hyperlink w:anchor="dpz-ex19_1.htm">
              <w:r>
                <w:rPr>
                  <w:rStyle w:val="InternetLink"/>
                  <w:rFonts w:ascii="Times New Roman" w:hAnsi="Times New Roman"/>
                  <w:color w:val="0000FF"/>
                  <w:sz w:val="20"/>
                  <w:u w:val="single"/>
                </w:rPr>
                <w:t>Domino’s Pizza, Inc. Insider Trading Policy and Addendum.</w:t>
              </w:r>
            </w:hyperlink>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tcMar>
              <w:top w:w="0" w:type="dxa"/>
              <w:left w:w="0" w:type="dxa"/>
              <w:bottom w:w="0" w:type="dxa"/>
              <w:right w:w="0" w:type="dxa"/>
            </w:tcMar>
            <w:vAlign w:val="center"/>
          </w:tcPr>
          <w:p>
            <w:pPr>
              <w:pStyle w:val="TableContents"/>
              <w:bidi w:val="0"/>
              <w:spacing w:before="0" w:after="283"/>
              <w:jc w:val="left"/>
              <w:rPr/>
            </w:pPr>
            <w:hyperlink w:anchor="dpz-ex21_1.htm">
              <w:r>
                <w:rPr>
                  <w:rStyle w:val="InternetLink"/>
                  <w:rFonts w:ascii="Times New Roman" w:hAnsi="Times New Roman"/>
                  <w:color w:val="0000FF"/>
                  <w:sz w:val="20"/>
                  <w:u w:val="single"/>
                </w:rPr>
                <w:t>Significant Subsidiaries of Domino’s Pizza, Inc.</w:t>
              </w:r>
            </w:hyperlink>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tcMar>
              <w:top w:w="0" w:type="dxa"/>
              <w:left w:w="0" w:type="dxa"/>
              <w:bottom w:w="0" w:type="dxa"/>
              <w:right w:w="0" w:type="dxa"/>
            </w:tcMar>
            <w:vAlign w:val="center"/>
          </w:tcPr>
          <w:p>
            <w:pPr>
              <w:pStyle w:val="TableContents"/>
              <w:bidi w:val="0"/>
              <w:spacing w:before="0" w:after="283"/>
              <w:jc w:val="left"/>
              <w:rPr/>
            </w:pPr>
            <w:hyperlink w:anchor="dpz-ex23_1.htm">
              <w:r>
                <w:rPr>
                  <w:rStyle w:val="InternetLink"/>
                  <w:rFonts w:ascii="Times New Roman" w:hAnsi="Times New Roman"/>
                  <w:color w:val="0000FF"/>
                  <w:sz w:val="20"/>
                  <w:u w:val="single"/>
                </w:rPr>
                <w:t>Consent of PricewaterhouseCoopers LLP.</w:t>
              </w:r>
            </w:hyperlink>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tcMar>
              <w:top w:w="0" w:type="dxa"/>
              <w:left w:w="0" w:type="dxa"/>
              <w:bottom w:w="0" w:type="dxa"/>
              <w:right w:w="0" w:type="dxa"/>
            </w:tcMar>
            <w:vAlign w:val="center"/>
          </w:tcPr>
          <w:p>
            <w:pPr>
              <w:pStyle w:val="TableContents"/>
              <w:bidi w:val="0"/>
              <w:spacing w:before="0" w:after="283"/>
              <w:jc w:val="left"/>
              <w:rPr/>
            </w:pPr>
            <w:hyperlink w:anchor="dpz-ex31_1.htm">
              <w:r>
                <w:rPr>
                  <w:rStyle w:val="InternetLink"/>
                  <w:rFonts w:ascii="Times New Roman" w:hAnsi="Times New Roman"/>
                  <w:color w:val="0000FF"/>
                  <w:sz w:val="20"/>
                  <w:u w:val="single"/>
                </w:rPr>
                <w:t>Certification of Chief Executive Officer pursuant to Section 302 of the Sarbanes-Oxley Act of 2002, relating to Domino’s Pizza, Inc.</w:t>
              </w:r>
            </w:hyperlink>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tcMar>
              <w:top w:w="0" w:type="dxa"/>
              <w:left w:w="0" w:type="dxa"/>
              <w:bottom w:w="0" w:type="dxa"/>
              <w:right w:w="0" w:type="dxa"/>
            </w:tcMar>
            <w:vAlign w:val="center"/>
          </w:tcPr>
          <w:p>
            <w:pPr>
              <w:pStyle w:val="TableContents"/>
              <w:bidi w:val="0"/>
              <w:spacing w:before="0" w:after="283"/>
              <w:jc w:val="left"/>
              <w:rPr/>
            </w:pPr>
            <w:hyperlink w:anchor="dpz-ex31_2.htm">
              <w:r>
                <w:rPr>
                  <w:rStyle w:val="InternetLink"/>
                  <w:rFonts w:ascii="Times New Roman" w:hAnsi="Times New Roman"/>
                  <w:color w:val="0000FF"/>
                  <w:sz w:val="20"/>
                  <w:u w:val="single"/>
                </w:rPr>
                <w:t>Certification of Chief Financial Officer pursuant to Section 302 of the Sarbanes-Oxley Act of 2002, relating to Domino’s Pizza, Inc.</w:t>
              </w:r>
            </w:hyperlink>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tcMar>
              <w:top w:w="0" w:type="dxa"/>
              <w:left w:w="0" w:type="dxa"/>
              <w:bottom w:w="0" w:type="dxa"/>
              <w:right w:w="0" w:type="dxa"/>
            </w:tcMar>
            <w:vAlign w:val="center"/>
          </w:tcPr>
          <w:p>
            <w:pPr>
              <w:pStyle w:val="TableContents"/>
              <w:bidi w:val="0"/>
              <w:spacing w:before="0" w:after="283"/>
              <w:jc w:val="left"/>
              <w:rPr/>
            </w:pPr>
            <w:hyperlink w:anchor="dpz-ex32_1.htm">
              <w:r>
                <w:rPr>
                  <w:rStyle w:val="InternetLink"/>
                  <w:rFonts w:ascii="Times New Roman" w:hAnsi="Times New Roman"/>
                  <w:color w:val="0000FF"/>
                  <w:sz w:val="20"/>
                  <w:u w:val="single"/>
                </w:rPr>
                <w:t>Certification of Chief Executive Officer pursuant to Section 1350, Chapter 63 of Title 18, United States Code, as adopted pursuant to Section 906 of the Sarbanes-Oxley Act of 2002, relating to Domino’s Pizza, Inc.</w:t>
              </w:r>
            </w:hyperlink>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tcMar>
              <w:top w:w="0" w:type="dxa"/>
              <w:left w:w="0" w:type="dxa"/>
              <w:bottom w:w="0" w:type="dxa"/>
              <w:right w:w="0" w:type="dxa"/>
            </w:tcMar>
            <w:vAlign w:val="center"/>
          </w:tcPr>
          <w:p>
            <w:pPr>
              <w:pStyle w:val="TableContents"/>
              <w:bidi w:val="0"/>
              <w:spacing w:before="0" w:after="283"/>
              <w:jc w:val="left"/>
              <w:rPr/>
            </w:pPr>
            <w:hyperlink w:anchor="dpz-ex32_2.htm">
              <w:r>
                <w:rPr>
                  <w:rStyle w:val="InternetLink"/>
                  <w:rFonts w:ascii="Times New Roman" w:hAnsi="Times New Roman"/>
                  <w:color w:val="0000FF"/>
                  <w:sz w:val="20"/>
                  <w:u w:val="single"/>
                </w:rPr>
                <w:t>Certification of Chief Financial Officer pursuant to Section 1350, Chapter 63 of Title 18, United States Code, as adopted pursuant to Section 906 of the Sarbanes-Oxley Act of 2002, relating to Domino’s Pizza, Inc.</w:t>
              </w:r>
            </w:hyperlink>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tcMar>
              <w:top w:w="0" w:type="dxa"/>
              <w:left w:w="0" w:type="dxa"/>
              <w:bottom w:w="0" w:type="dxa"/>
              <w:right w:w="0" w:type="dxa"/>
            </w:tcMar>
            <w:vAlign w:val="center"/>
          </w:tcPr>
          <w:p>
            <w:pPr>
              <w:pStyle w:val="TableContents"/>
              <w:bidi w:val="0"/>
              <w:spacing w:before="0" w:after="283"/>
              <w:jc w:val="left"/>
              <w:rPr/>
            </w:pPr>
            <w:hyperlink r:id="rId82">
              <w:r>
                <w:rPr>
                  <w:rStyle w:val="InternetLink"/>
                  <w:rFonts w:ascii="Times New Roman" w:hAnsi="Times New Roman"/>
                  <w:color w:val="0000FF"/>
                  <w:sz w:val="20"/>
                  <w:u w:val="single"/>
                </w:rPr>
                <w:t>Domino's Pizza, Inc. Policy for Recoupment of Incentive Compensation Effective as of October 2, 2023. (Incorporated by reference to Exhibit 97.1 to the 2023 10-K).</w:t>
              </w:r>
            </w:hyperlink>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Instance Document – The instance document does not appear in the Interactive Data File because its XBRL tags are embedded within the Inline XBRL document.</w:t>
            </w:r>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A management contract or compensatory plan or arrangement required to be filed as an exhibit to this report pursuant to Item 15(b) of Form 10-K.</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SCHEDULE I – CONDENSED FINANCIAL INFORMATION OF THE REGISTRANT</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Domino’s Pizza, Inc.</w:t>
      </w:r>
    </w:p>
    <w:p>
      <w:pPr>
        <w:pStyle w:val="TextBody"/>
        <w:bidi w:val="0"/>
        <w:jc w:val="center"/>
        <w:rPr>
          <w:rFonts w:ascii="Times New Roman" w:hAnsi="Times New Roman"/>
          <w:b/>
          <w:color w:val="000000"/>
          <w:sz w:val="20"/>
        </w:rPr>
      </w:pPr>
      <w:r>
        <w:rPr>
          <w:rFonts w:ascii="Times New Roman" w:hAnsi="Times New Roman"/>
          <w:b/>
          <w:color w:val="000000"/>
          <w:sz w:val="20"/>
        </w:rPr>
        <w:t>PARENT COMPANY 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732"/>
        <w:gridCol w:w="146"/>
        <w:gridCol w:w="211"/>
        <w:gridCol w:w="991"/>
        <w:gridCol w:w="166"/>
        <w:gridCol w:w="146"/>
        <w:gridCol w:w="211"/>
        <w:gridCol w:w="991"/>
        <w:gridCol w:w="611"/>
      </w:tblGrid>
      <w:tr>
        <w:trPr/>
        <w:tc>
          <w:tcPr>
            <w:tcW w:w="6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in net deficit of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3,962,291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3,962,291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$0.01 per share; 170,000,000 shares authorized;</w:t>
              <w:br/>
              <w:t>   33,627,992 in 2025 and 34,281,927 in 2024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par value $0.01 per share; 5,000,000 shares authorized, none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(3,956,474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(3,962,291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Schedule I.</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Domino’s Pizza, Inc.</w:t>
      </w:r>
    </w:p>
    <w:p>
      <w:pPr>
        <w:pStyle w:val="TextBody"/>
        <w:bidi w:val="0"/>
        <w:jc w:val="center"/>
        <w:rPr>
          <w:rFonts w:ascii="Times New Roman" w:hAnsi="Times New Roman"/>
          <w:b/>
          <w:color w:val="000000"/>
          <w:sz w:val="20"/>
        </w:rPr>
      </w:pPr>
      <w:r>
        <w:rPr>
          <w:rFonts w:ascii="Times New Roman" w:hAnsi="Times New Roman"/>
          <w:b/>
          <w:color w:val="000000"/>
          <w:sz w:val="20"/>
        </w:rPr>
        <w:t>PARENT COMPANY CONDENSED STATEMENTS OF INCOME AND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pPr>
      <w:r>
        <w:rPr/>
        <w:t> </w:t>
      </w:r>
    </w:p>
    <w:tbl>
      <w:tblPr>
        <w:tblW w:w="9227" w:type="dxa"/>
        <w:jc w:val="left"/>
        <w:tblInd w:w="0" w:type="dxa"/>
        <w:tblLayout w:type="fixed"/>
        <w:tblCellMar>
          <w:top w:w="28" w:type="dxa"/>
          <w:left w:w="28" w:type="dxa"/>
          <w:bottom w:w="28" w:type="dxa"/>
          <w:right w:w="28" w:type="dxa"/>
        </w:tblCellMar>
      </w:tblPr>
      <w:tblGrid>
        <w:gridCol w:w="4621"/>
        <w:gridCol w:w="146"/>
        <w:gridCol w:w="233"/>
        <w:gridCol w:w="862"/>
        <w:gridCol w:w="146"/>
        <w:gridCol w:w="146"/>
        <w:gridCol w:w="233"/>
        <w:gridCol w:w="862"/>
        <w:gridCol w:w="146"/>
        <w:gridCol w:w="146"/>
        <w:gridCol w:w="233"/>
        <w:gridCol w:w="862"/>
        <w:gridCol w:w="59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earnings in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584,170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519,118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519,118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584,170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519,118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580,605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519,945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Schedule I.</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Domino’s Pizza, Inc.</w:t>
      </w:r>
    </w:p>
    <w:p>
      <w:pPr>
        <w:pStyle w:val="TextBody"/>
        <w:bidi w:val="0"/>
        <w:jc w:val="center"/>
        <w:rPr>
          <w:rFonts w:ascii="Times New Roman" w:hAnsi="Times New Roman"/>
          <w:b/>
          <w:color w:val="000000"/>
          <w:sz w:val="20"/>
        </w:rPr>
      </w:pPr>
      <w:r>
        <w:rPr>
          <w:rFonts w:ascii="Times New Roman" w:hAnsi="Times New Roman"/>
          <w:b/>
          <w:color w:val="000000"/>
          <w:sz w:val="20"/>
        </w:rPr>
        <w:t>PARENT COMPANY 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9397" w:type="dxa"/>
        <w:jc w:val="left"/>
        <w:tblInd w:w="0" w:type="dxa"/>
        <w:tblLayout w:type="fixed"/>
        <w:tblCellMar>
          <w:top w:w="28" w:type="dxa"/>
          <w:left w:w="28" w:type="dxa"/>
          <w:bottom w:w="28" w:type="dxa"/>
          <w:right w:w="28" w:type="dxa"/>
        </w:tblCellMar>
      </w:tblPr>
      <w:tblGrid>
        <w:gridCol w:w="4731"/>
        <w:gridCol w:w="146"/>
        <w:gridCol w:w="219"/>
        <w:gridCol w:w="876"/>
        <w:gridCol w:w="166"/>
        <w:gridCol w:w="146"/>
        <w:gridCol w:w="219"/>
        <w:gridCol w:w="876"/>
        <w:gridCol w:w="166"/>
        <w:gridCol w:w="146"/>
        <w:gridCol w:w="219"/>
        <w:gridCol w:w="876"/>
        <w:gridCol w:w="611"/>
      </w:tblGrid>
      <w:tr>
        <w:trPr/>
        <w:tc>
          <w:tcPr>
            <w:tcW w:w="4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584,085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435,551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common stock dividends and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(169,772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(584,085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(435,551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Schedule I.</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Domino’s Pizza, Inc.</w:t>
      </w:r>
    </w:p>
    <w:p>
      <w:pPr>
        <w:pStyle w:val="TextBody"/>
        <w:bidi w:val="0"/>
        <w:jc w:val="center"/>
        <w:rPr>
          <w:rFonts w:ascii="Times New Roman" w:hAnsi="Times New Roman"/>
          <w:b/>
          <w:color w:val="000000"/>
          <w:sz w:val="20"/>
        </w:rPr>
      </w:pPr>
      <w:r>
        <w:rPr>
          <w:rFonts w:ascii="Times New Roman" w:hAnsi="Times New Roman"/>
          <w:b/>
          <w:color w:val="000000"/>
          <w:sz w:val="20"/>
        </w:rPr>
        <w:t>NOTES TO PARENT COMPANY CONDENSED FINANCIAL STATEMENTS</w:t>
      </w:r>
    </w:p>
    <w:p>
      <w:pPr>
        <w:pStyle w:val="TextBody"/>
        <w:bidi w:val="0"/>
        <w:jc w:val="center"/>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w:t>
      </w:r>
    </w:p>
    <w:p>
      <w:pPr>
        <w:pStyle w:val="TextBody"/>
        <w:bidi w:val="0"/>
        <w:jc w:val="left"/>
        <w:rPr>
          <w:rFonts w:ascii="Times New Roman" w:hAnsi="Times New Roman"/>
          <w:b/>
          <w:color w:val="000000"/>
          <w:sz w:val="20"/>
        </w:rPr>
      </w:pPr>
      <w:r>
        <w:rPr>
          <w:rFonts w:ascii="Times New Roman" w:hAnsi="Times New Roman"/>
          <w:b/>
          <w:color w:val="000000"/>
          <w:sz w:val="20"/>
        </w:rPr>
        <w:t>Introduction and Basis of Presentation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Domino’s Pizza, Inc., on a stand-alone basis, (the “Parent Company”) has accounted for majority-owned subsidiaries using the equity method of accounting. The accompanying condensed financial statements of the Parent Company should be read in conjunction with the consolidated financial statements of Domino’s Pizza, Inc. and its subsidiaries (the “Company”) and the notes thereto included in Item 8 of this Form 10-K. These financial statements have been provided to comply with Rule 4-08(e) of Regulation S-X.</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Use of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use of estimates is inherent in the preparation of financial statements in accordance with generally accepted accounting principles. Actual results could differ from those estimates.</w:t>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(2)</w:t>
      </w:r>
    </w:p>
    <w:p>
      <w:pPr>
        <w:pStyle w:val="TextBody"/>
        <w:bidi w:val="0"/>
        <w:jc w:val="left"/>
        <w:rPr>
          <w:rFonts w:ascii="Times New Roman" w:hAnsi="Times New Roman"/>
          <w:b/>
          <w:color w:val="000000"/>
          <w:sz w:val="20"/>
        </w:rPr>
      </w:pPr>
      <w:r>
        <w:rPr>
          <w:rFonts w:ascii="Times New Roman" w:hAnsi="Times New Roman"/>
          <w:b/>
          <w:color w:val="000000"/>
          <w:sz w:val="20"/>
        </w:rPr>
        <w:t xml:space="preserve">Supplemental Disclosures of Cash Flow Information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2025, 2024 and 2023, the Parent Company received dividends from its subsidiaries primarily consisting of amounts received to pay dividends and repurchase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2024 and 2023, the Parent Company repurchased and retired $354.7 million, $327.0 million and $269.0 million, respectively, in shares of its common stock under the Company’s Board of Directors-approved share repurchase program. During 2025 and 2024, Domino’s Pizza LLC, a subsidiary of the Parent Company, made $3.0 million and $2.6 million in excise tax payments related to this share repurchase program, respectively.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6" w:name="item16_form10k_summary"/>
      <w:bookmarkEnd w:id="26"/>
      <w:r>
        <w:rPr>
          <w:rFonts w:ascii="Times New Roman" w:hAnsi="Times New Roman"/>
          <w:b/>
          <w:color w:val="000000"/>
          <w:sz w:val="20"/>
        </w:rPr>
        <w:t>Item 16. Form 10-K Summary.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Not applicable</w:t>
      </w:r>
      <w:r>
        <w:rPr>
          <w:rFonts w:ascii="Times New Roman" w:hAnsi="Times New Roman"/>
          <w:b/>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7" w:name="signatures"/>
      <w:bookmarkEnd w:id="27"/>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annual report to be signed on its behalf by the undersigned, thereunto duly authorized.</w:t>
      </w:r>
    </w:p>
    <w:p>
      <w:pPr>
        <w:pStyle w:val="TextBody"/>
        <w:bidi w:val="0"/>
        <w:jc w:val="left"/>
        <w:rPr/>
      </w:pPr>
      <w:r>
        <w:rPr/>
        <w:t> </w:t>
      </w:r>
    </w:p>
    <w:tbl>
      <w:tblPr>
        <w:tblW w:w="4156" w:type="dxa"/>
        <w:jc w:val="left"/>
        <w:tblInd w:w="0" w:type="dxa"/>
        <w:tblLayout w:type="fixed"/>
        <w:tblCellMar>
          <w:top w:w="28" w:type="dxa"/>
          <w:left w:w="28" w:type="dxa"/>
          <w:bottom w:w="28" w:type="dxa"/>
          <w:right w:w="28" w:type="dxa"/>
        </w:tblCellMar>
      </w:tblPr>
      <w:tblGrid>
        <w:gridCol w:w="4156"/>
      </w:tblGrid>
      <w:tr>
        <w:trPr/>
        <w:tc>
          <w:tcPr>
            <w:tcW w:w="4156" w:type="dxa"/>
            <w:tcBorders/>
            <w:vAlign w:val="center"/>
          </w:tcPr>
          <w:p>
            <w:pPr>
              <w:pStyle w:val="TableContents"/>
              <w:bidi w:val="0"/>
              <w:spacing w:before="0" w:after="283"/>
              <w:jc w:val="left"/>
              <w:rPr>
                <w:sz w:val="4"/>
                <w:szCs w:val="4"/>
              </w:rPr>
            </w:pPr>
            <w:r>
              <w:rPr>
                <w:sz w:val="4"/>
                <w:szCs w:val="4"/>
              </w:rPr>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DOMINO’S PIZZA, INC.</w:t>
            </w:r>
          </w:p>
        </w:tc>
      </w:tr>
      <w:tr>
        <w:trPr/>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Sandeep Reddy</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Sandeep Reddy</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23, 2026</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registrants and in the capacities and on the dates indicated.</w:t>
      </w:r>
    </w:p>
    <w:p>
      <w:pPr>
        <w:pStyle w:val="TextBody"/>
        <w:bidi w:val="0"/>
        <w:jc w:val="left"/>
        <w:rPr/>
      </w:pPr>
      <w:r>
        <w:rPr/>
        <w:t> </w:t>
      </w:r>
    </w:p>
    <w:tbl>
      <w:tblPr>
        <w:tblW w:w="6718" w:type="dxa"/>
        <w:jc w:val="left"/>
        <w:tblInd w:w="0" w:type="dxa"/>
        <w:tblLayout w:type="fixed"/>
        <w:tblCellMar>
          <w:top w:w="28" w:type="dxa"/>
          <w:left w:w="28" w:type="dxa"/>
          <w:bottom w:w="28" w:type="dxa"/>
          <w:right w:w="28" w:type="dxa"/>
        </w:tblCellMar>
      </w:tblPr>
      <w:tblGrid>
        <w:gridCol w:w="1966"/>
        <w:gridCol w:w="146"/>
        <w:gridCol w:w="460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Russell J. Weiner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Russell J. Weiner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and Director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Sandeep Reddy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Sandeep Reddy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Jessica L. Parrish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Jessica L. Parrish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Chief Accounting Officer and Treasurer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Accounting Officer)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David A. Brandon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A. Brandon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Chairman of the Board of Directors</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Andrew B. Balson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B. Balson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Corie S. Barry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Corie S. Barry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Diane L. Cafritz</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Diane L. Cafritz</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Richard L. Federico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L. Federico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James A. Goldman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A. Goldman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Stephen H. Kramer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H. Kramer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Patricia E. Lopez</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Patricia E. Lopez</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8" w:name="dpz-ex4_1.htm"/>
      <w:bookmarkStart w:id="29" w:name="ksdpzex4_1"/>
      <w:bookmarkEnd w:id="28"/>
      <w:bookmarkEnd w:id="29"/>
      <w:r>
        <w:rPr>
          <w:rFonts w:ascii="Times New Roman" w:hAnsi="Times New Roman"/>
          <w:b/>
          <w:color w:val="000000"/>
          <w:sz w:val="22"/>
        </w:rPr>
        <w:t>Exhibit 4.1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DESCRIPTION OF THE REGISTRANT’S SECURITIES REGISTERED PURSUANT TO SECTION 12 OF THE SECURITIES EXCHANGE ACT OF 1934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description of the securities of Domino’s Pizza, Inc. (the “Company” or “our”) is a summary and does not purport to be complete. It is subject to and qualified in its entirety by reference to our third amended and restated certificate of incorporation (“certificate of incorporation”), our fifth amended and restated by-laws (“by-laws”), our Annual Report on Form 10-K and the applicable provisions of the Delaware General Corporation Law, as amended (the “DGCL”).</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Description of Capital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Authorized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amount of our authorized capital stock consists of 160,000,000 shares of common stock, $0.01 par value per share, 10,000,000 shares of non-voting common stock, $0.01 par value per share, and 5,000,000 shares of undesignated preferred stock, $0.01 par value per share (the “Preferred Stock”). The Preferred Stock is issuable in one or more classes and series, with powers, preferences, rights, restrictions and qualifications as may be established by the board of directors of the Company without stockholder approval, including without limitation thereof, dividend rights, conversion rights, redemption privileges and liquidation preferences, any or all of which may be greater than the rights of the common stock. No shares of Preferred Stock are outstanding.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Voting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outstanding share of common stock (other than shares of non-voting common stock held by certain securityholders that acquired these shares, or options exercisable for such shares, prior to the Company’s initial public offering in 2004) entitles its holder to one vote on all matters submitted to a vote of our stockholders, including the election of directors. There are no cumulative voting rights. Our voting common stock votes together as one class on all matters.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Conversion Rights of Non-Voting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shares of non-voting common stock are convertible into shares of our common stock upon transfer to a non-affiliate of the holder or otherwise in a brokerage transaction. We do not expect to issue any additional shares of our non-voting common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the rights of the holders of any Preferred Stock which may be outstanding from time to time, the holders of common stock are entitled to receive dividends as, when and if dividends are declared by our board of directors out of assets legally available for the payment of dividends.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 liquidation, dissolution or winding up of our affairs, whether voluntary or involuntary, after payment of our liabilities and obligations to creditors and any holders of Preferred Stock, our remaining assets will be distributed ratably among the holders of shares of common stock on a per share basis.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Rights and Preferences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has no preemptive, redemption, conversion or subscription rights. No sinking fund provisions are applicable to our common stock. The rights, powers, preferences and privileges of holders of our common stock are subject to, and may be adversely affected by, the rights of the holders of shares of any series of Preferred Stock that we may designate and issue in the future.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listed on the Nasdaq Stock Market LLC under the trading symbol “DPZ.”</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transfer agent and registrar for our common stock is Computershare Trust Company, N.A.</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Other Provisions of our Certificate of Incorporation and By-laws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and by-laws contain provisions that may have the effect of delaying, deferring or preventing a future takeover or change in control of the Company unless such takeover or change in control is approved by our board of directors. Our certificate of incorporation and by-laws provide for the following:</w:t>
      </w:r>
    </w:p>
    <w:p>
      <w:pPr>
        <w:pStyle w:val="TextBody"/>
        <w:bidi w:val="0"/>
        <w:spacing w:before="240" w:after="283"/>
        <w:jc w:val="left"/>
        <w:rPr>
          <w:rFonts w:ascii="Times New Roman" w:hAnsi="Times New Roman"/>
          <w:sz w:val="20"/>
        </w:rPr>
      </w:pPr>
      <w:r>
        <w:rPr>
          <w:rFonts w:ascii="Times New Roman" w:hAnsi="Times New Roman"/>
          <w:i/>
          <w:color w:val="000000"/>
          <w:sz w:val="20"/>
        </w:rPr>
        <w:t>Election of Directors</w:t>
      </w:r>
      <w:r>
        <w:rPr>
          <w:rFonts w:ascii="Times New Roman" w:hAnsi="Times New Roman"/>
          <w:color w:val="000000"/>
          <w:sz w:val="20"/>
        </w:rPr>
        <w:t>. Our certificate of incorporation provides for each member of our board of directors to be elected annually and directors may be removed, with or without cause, upon the affirmative vote of the holders of a majority of our then outstanding capital stock entitled to vote at an election of directors. Our by-laws provide that (a) the board of directors may establish the number of directors who constitute the board of directors; and (b) newly-created directorships and vacancies on the board of directors are filled by majority vote of the directors then in office.</w:t>
      </w:r>
    </w:p>
    <w:p>
      <w:pPr>
        <w:pStyle w:val="TextBody"/>
        <w:bidi w:val="0"/>
        <w:spacing w:before="240" w:after="283"/>
        <w:jc w:val="left"/>
        <w:rPr>
          <w:rFonts w:ascii="Times New Roman" w:hAnsi="Times New Roman"/>
          <w:sz w:val="20"/>
        </w:rPr>
      </w:pPr>
      <w:r>
        <w:rPr>
          <w:rFonts w:ascii="Times New Roman" w:hAnsi="Times New Roman"/>
          <w:i/>
          <w:color w:val="000000"/>
          <w:sz w:val="20"/>
        </w:rPr>
        <w:t>Elimination of Stockholder Action Through Written Consent</w:t>
      </w:r>
      <w:r>
        <w:rPr>
          <w:rFonts w:ascii="Times New Roman" w:hAnsi="Times New Roman"/>
          <w:color w:val="000000"/>
          <w:sz w:val="20"/>
        </w:rPr>
        <w:t>. Our by-laws provide that stockholder action can be taken only at an annual or special meeting of stockholders and cannot be taken by written consent in lieu of a meeting.</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Special Meetings. </w:t>
      </w:r>
      <w:r>
        <w:rPr>
          <w:rFonts w:ascii="Times New Roman" w:hAnsi="Times New Roman"/>
          <w:color w:val="000000"/>
          <w:sz w:val="20"/>
        </w:rPr>
        <w:t xml:space="preserve">Our by-laws provide that special meetings of stockholders (i) may be called at any time only by the Chairman of the board of directors, our Chief Executive Officer (or, if there is no Chief Executive Officer, the President) or by our board of directors pursuant to a resolution approved by a majority of total number of directors then in office or (ii) subject to the provisions of our by-laws, shall be called by the board of directors at the written request of stockholders who have a “net long beneficial ownership” (as defined in our by-laws) of at least 25% of the outstanding shares of our common stock. </w:t>
      </w:r>
    </w:p>
    <w:p>
      <w:pPr>
        <w:pStyle w:val="TextBody"/>
        <w:bidi w:val="0"/>
        <w:spacing w:before="240" w:after="283"/>
        <w:jc w:val="left"/>
        <w:rPr>
          <w:rFonts w:ascii="Times New Roman" w:hAnsi="Times New Roman"/>
          <w:sz w:val="20"/>
        </w:rPr>
      </w:pPr>
      <w:r>
        <w:rPr>
          <w:rFonts w:ascii="Times New Roman" w:hAnsi="Times New Roman"/>
          <w:i/>
          <w:color w:val="000000"/>
          <w:sz w:val="20"/>
        </w:rPr>
        <w:t>Advanced Notice Procedures for Stockholder Proposals</w:t>
      </w:r>
      <w:r>
        <w:rPr>
          <w:rFonts w:ascii="Times New Roman" w:hAnsi="Times New Roman"/>
          <w:color w:val="000000"/>
          <w:sz w:val="20"/>
        </w:rPr>
        <w:t>. Our by-laws establish an advance notice procedure for stockholder proposals to be brought before an annual meeting of our stockholders, including proposed nominations of persons for election to our board.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the Secretary of the Company timely written notice, in proper form, of the stockholder’s intention to bring that business before the meeting and has provided us with the other information required under our by-laws. Although our by-laws do not give our board the power to approve or disapprove stockholder nominations of candidates or proposals regarding other business to be conducted at a special or annual meeting, our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us.</w:t>
      </w:r>
    </w:p>
    <w:p>
      <w:pPr>
        <w:pStyle w:val="TextBody"/>
        <w:bidi w:val="0"/>
        <w:spacing w:before="240" w:after="283"/>
        <w:jc w:val="left"/>
        <w:rPr>
          <w:rFonts w:ascii="Times New Roman" w:hAnsi="Times New Roman"/>
          <w:sz w:val="20"/>
        </w:rPr>
      </w:pPr>
      <w:r>
        <w:rPr>
          <w:rFonts w:ascii="Times New Roman" w:hAnsi="Times New Roman"/>
          <w:i/>
          <w:color w:val="000000"/>
          <w:sz w:val="20"/>
        </w:rPr>
        <w:t>Authorized but Unissued Shares</w:t>
      </w:r>
      <w:r>
        <w:rPr>
          <w:rFonts w:ascii="Times New Roman" w:hAnsi="Times New Roman"/>
          <w:color w:val="000000"/>
          <w:sz w:val="20"/>
        </w:rPr>
        <w:t>. Our authorized but unissued shares of common stock and Preferred Stock will be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pStyle w:val="TextBody"/>
        <w:bidi w:val="0"/>
        <w:spacing w:before="240" w:after="283"/>
        <w:jc w:val="left"/>
        <w:rPr>
          <w:rFonts w:ascii="Times New Roman" w:hAnsi="Times New Roman"/>
          <w:sz w:val="20"/>
        </w:rPr>
      </w:pPr>
      <w:r>
        <w:rPr>
          <w:rFonts w:ascii="Times New Roman" w:hAnsi="Times New Roman"/>
          <w:i/>
          <w:color w:val="000000"/>
          <w:sz w:val="20"/>
        </w:rPr>
        <w:t>Proxy Access.</w:t>
      </w:r>
      <w:r>
        <w:rPr>
          <w:rFonts w:ascii="Times New Roman" w:hAnsi="Times New Roman"/>
          <w:color w:val="000000"/>
          <w:sz w:val="20"/>
        </w:rPr>
        <w:t xml:space="preserve"> Pursuant to our by-laws, a stockholder, or a group of up to 20 stockholders, owning 3% or more of the Company’s outstanding common stock continuously for at least three years may nominate, and the Company will include in its proxy materials for any annual meeting of stockholders, nominees for director constituting up to 20% of the Company’s board (rounded down to the nearest whole number, but not less than two individuals). To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nominate an individual for director, an eligible stockholder’s notice must be received by the Secretary of the Company at the Company’s principal executive offices no earlier than 120 days and no later than 90 days before the first anniversary of the date that the Company issued its proxy statement to stockholders for the previous year’s annual meeting of stockholders. The by-laws also specify disclosures, agreements and representations required to be submitted to the Company by each nominating stockholder and each proxy access nominee and circumstances in which (i) the maximum number of proxy access nominees shall be reduced or (ii) the board will not be required to include any proxy access nominees in the Company’s proxy statement for a particular annual meeting of stockholders. The stockholder(s) and the nominee(s) are also required to satisfy the other requirements specified in the by-laws.</w:t>
      </w:r>
    </w:p>
    <w:p>
      <w:pPr>
        <w:pStyle w:val="TextBody"/>
        <w:bidi w:val="0"/>
        <w:spacing w:before="240" w:after="283"/>
        <w:jc w:val="left"/>
        <w:rPr>
          <w:rFonts w:ascii="Times New Roman" w:hAnsi="Times New Roman"/>
          <w:sz w:val="20"/>
        </w:rPr>
      </w:pPr>
      <w:r>
        <w:rPr>
          <w:rFonts w:ascii="Times New Roman" w:hAnsi="Times New Roman"/>
          <w:i/>
          <w:color w:val="000000"/>
          <w:sz w:val="20"/>
        </w:rPr>
        <w:t>Business Combinations with Interested Stockholders</w:t>
      </w:r>
      <w:r>
        <w:rPr>
          <w:rFonts w:ascii="Times New Roman" w:hAnsi="Times New Roman"/>
          <w:color w:val="000000"/>
          <w:sz w:val="20"/>
        </w:rPr>
        <w:t>. We are subject to the “business combination” provisions of the DGCL. In general, such provisions prohibit a publicly-held Delaware corporation from engaging in any “business combination” transactions with any “interested stockholder” for a period of three years after the date on which the person became an “interested stockholder,” unless:</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to such date, the board of directors approved either the “business combination” or the transaction which resulted in the “interested stockholder” obtaining such status;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at or subsequent to such time the “business combination” is approved by the board of directors and authorized at an annual or special meeting of stockholders, and not by written consent, by the affirmative vote of at least 66 </w:t>
            </w:r>
            <w:r>
              <w:rPr>
                <w:rFonts w:ascii="Times New Roman" w:hAnsi="Times New Roman"/>
                <w:color w:val="000000"/>
                <w:sz w:val="11"/>
              </w:rPr>
              <w:t>2/3</w:t>
            </w:r>
            <w:r>
              <w:rPr>
                <w:rFonts w:ascii="Times New Roman" w:hAnsi="Times New Roman"/>
                <w:color w:val="000000"/>
                <w:sz w:val="20"/>
              </w:rPr>
              <w:t>% of the outstanding voting stock which is not owned by the “interested stockholder.”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 three years did own 15% or more of a corporation’s voting stock. The statute could prohibit or delay mergers or other takeover or change in control attempts with respect to us and, accordingly, may discourage attempts to acquire us.</w:t>
      </w:r>
    </w:p>
    <w:p>
      <w:pPr>
        <w:pStyle w:val="TextBody"/>
        <w:bidi w:val="0"/>
        <w:spacing w:before="0" w:after="16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30" w:name="dpz-ex10_44.htm"/>
      <w:bookmarkStart w:id="31" w:name="ksdpzex10_44"/>
      <w:bookmarkEnd w:id="30"/>
      <w:bookmarkEnd w:id="31"/>
      <w:r>
        <w:rPr>
          <w:rFonts w:ascii="Times New Roman" w:hAnsi="Times New Roman"/>
          <w:b/>
          <w:color w:val="000000"/>
          <w:sz w:val="24"/>
        </w:rPr>
        <w:t>Exhibit 10.44</w:t>
      </w:r>
      <w:r>
        <w:rPr>
          <w:rFonts w:ascii="Times New Roman" w:hAnsi="Times New Roman"/>
          <w:color w:val="000000"/>
          <w:sz w:val="20"/>
        </w:rPr>
        <w:t xml:space="preserve"> </w:t>
      </w:r>
      <w:r>
        <w:rPr>
          <w:rFonts w:ascii="Times New Roman" w:hAnsi="Times New Roman"/>
          <w:color w:val="000000"/>
          <w:sz w:val="24"/>
        </w:rPr>
        <w:t>EXECUTION VERSION</w:t>
      </w:r>
      <w:r>
        <w:br w:type="page"/>
      </w:r>
    </w:p>
    <w:p>
      <w:pPr>
        <w:pStyle w:val="TextBody"/>
        <w:bidi w:val="0"/>
        <w:jc w:val="righ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EMPLOYMENT AGREEMENT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This Employment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made as of August 3, 2020 and will become effective as of 12:00 AM Midnight on August 20, 2020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by and between Domino’s Pizza LLC, a Michigan limited liability company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on the one hand,</w:t>
      </w:r>
      <w:r>
        <w:rPr>
          <w:rFonts w:ascii="Times New Roman" w:hAnsi="Times New Roman"/>
          <w:color w:val="000000"/>
          <w:sz w:val="20"/>
        </w:rPr>
        <w:t xml:space="preserve"> </w:t>
      </w:r>
      <w:r>
        <w:rPr>
          <w:rFonts w:ascii="Times New Roman" w:hAnsi="Times New Roman"/>
          <w:color w:val="000000"/>
          <w:sz w:val="24"/>
        </w:rPr>
        <w:t>and Cynthia Headen (the “</w:t>
      </w:r>
      <w:r>
        <w:rPr>
          <w:rFonts w:ascii="Times New Roman" w:hAnsi="Times New Roman"/>
          <w:color w:val="000000"/>
          <w:sz w:val="24"/>
          <w:u w:val="single"/>
        </w:rPr>
        <w:t>Executive</w:t>
      </w:r>
      <w:r>
        <w:rPr>
          <w:rFonts w:ascii="Times New Roman" w:hAnsi="Times New Roman"/>
          <w:color w:val="000000"/>
          <w:sz w:val="20"/>
        </w:rPr>
        <w:t>”</w:t>
      </w:r>
      <w:r>
        <w:rPr>
          <w:rFonts w:ascii="Times New Roman" w:hAnsi="Times New Roman"/>
          <w:color w:val="000000"/>
          <w:sz w:val="24"/>
        </w:rPr>
        <w:t>), on the other hand.</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RECITALS</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1. The Executive has experience and expertise required by the Company and its Affiliates.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2. Subject to the terms and conditions hereinafter set forth, the Company therefore wishes to employ the Executive as its Executive Vice President, Supply Chain Services, and the Executive wishes to accept such employment.</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AGREEMENT</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NOW, THEREFORE, for valid consideration received, the parties agree as follows: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Employment.</w:t>
      </w:r>
      <w:r>
        <w:rPr>
          <w:rFonts w:ascii="Times New Roman" w:hAnsi="Times New Roman"/>
          <w:color w:val="000000"/>
          <w:sz w:val="20"/>
        </w:rPr>
        <w:t xml:space="preserve"> </w:t>
      </w:r>
      <w:r>
        <w:rPr>
          <w:rFonts w:ascii="Times New Roman" w:hAnsi="Times New Roman"/>
          <w:color w:val="000000"/>
          <w:sz w:val="24"/>
        </w:rPr>
        <w:t>Subject to the terms and conditions set forth in this Agreement, the Company offers and the Executive accepts employment hereunder effective as of the Effective Date.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Term.</w:t>
      </w:r>
      <w:r>
        <w:rPr>
          <w:rFonts w:ascii="Times New Roman" w:hAnsi="Times New Roman"/>
          <w:color w:val="000000"/>
          <w:sz w:val="20"/>
        </w:rPr>
        <w:t xml:space="preserve"> </w:t>
      </w:r>
      <w:r>
        <w:rPr>
          <w:rFonts w:ascii="Times New Roman" w:hAnsi="Times New Roman"/>
          <w:color w:val="000000"/>
          <w:sz w:val="24"/>
        </w:rPr>
        <w:t>This Agreement shall commence on the Effective Date and shall remain in effect for an indefinite time until terminated by either party as set forth in Section 5 hereof (the term of this Agreement, the “</w:t>
      </w:r>
      <w:r>
        <w:rPr>
          <w:rFonts w:ascii="Times New Roman" w:hAnsi="Times New Roman"/>
          <w:color w:val="000000"/>
          <w:sz w:val="24"/>
          <w:u w:val="single"/>
        </w:rPr>
        <w:t>Term</w:t>
      </w:r>
      <w:r>
        <w:rPr>
          <w:rFonts w:ascii="Times New Roman" w:hAnsi="Times New Roman"/>
          <w:color w:val="000000"/>
          <w:sz w:val="20"/>
        </w:rPr>
        <w:t>”</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Capacity and Performance</w:t>
      </w:r>
      <w:r>
        <w:rPr>
          <w:rFonts w:ascii="Times New Roman" w:hAnsi="Times New Roman"/>
          <w:color w:val="000000"/>
          <w:sz w:val="24"/>
        </w:rPr>
        <w: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3.1 </w:t>
      </w:r>
      <w:r>
        <w:rPr>
          <w:rFonts w:ascii="Times New Roman" w:hAnsi="Times New Roman"/>
          <w:color w:val="000000"/>
          <w:sz w:val="24"/>
          <w:u w:val="single"/>
        </w:rPr>
        <w:t>Offices</w:t>
      </w:r>
      <w:r>
        <w:rPr>
          <w:rFonts w:ascii="Times New Roman" w:hAnsi="Times New Roman"/>
          <w:color w:val="000000"/>
          <w:sz w:val="24"/>
        </w:rPr>
        <w:t>. During the Term, the Executive shall serve the Company as its Executive Vice President, Supply Chain Services. The Executive shall have such other powers, duties and responsibilities consistent with the Executive’s position as Executive Vice President, Supply Chain Services as may from time to time be prescribed by the Chief Executive Officer of the Company (the “</w:t>
      </w:r>
      <w:r>
        <w:rPr>
          <w:rFonts w:ascii="Times New Roman" w:hAnsi="Times New Roman"/>
          <w:color w:val="000000"/>
          <w:sz w:val="24"/>
          <w:u w:val="single"/>
        </w:rPr>
        <w:t>CEO</w:t>
      </w:r>
      <w:r>
        <w:rPr>
          <w:rFonts w:ascii="Times New Roman" w:hAnsi="Times New Roman"/>
          <w:color w:val="000000"/>
          <w:sz w:val="20"/>
        </w:rPr>
        <w:t>”</w:t>
      </w:r>
      <w:r>
        <w:rPr>
          <w:rFonts w:ascii="Times New Roman" w:hAnsi="Times New Roman"/>
          <w:color w:val="000000"/>
          <w:sz w:val="24"/>
        </w:rPr>
        <w: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3.2 </w:t>
      </w:r>
      <w:r>
        <w:rPr>
          <w:rFonts w:ascii="Times New Roman" w:hAnsi="Times New Roman"/>
          <w:color w:val="000000"/>
          <w:sz w:val="24"/>
          <w:u w:val="single"/>
        </w:rPr>
        <w:t>Performance</w:t>
      </w:r>
      <w:r>
        <w:rPr>
          <w:rFonts w:ascii="Times New Roman" w:hAnsi="Times New Roman"/>
          <w:color w:val="000000"/>
          <w:sz w:val="24"/>
        </w:rPr>
        <w:t>. During the Term, the Executive shall be employed by the Company on a full-time basis and shall perform and discharge, faithfully, diligently and to the best of his/her ability, his/her duties and responsibilities hereunder. During the Term, the Executive shall devote his/her full business time exclusively to the advancement of the business and interests of the Company and its Affiliates and to the discharge of his/her duties and responsibilities hereunder. The Executive shall not engage in any other business activity or serve in any industry, trade, professional,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Headen Employment Agreement</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governmental, political, charitable or academic position during the Term, except for such directorships or other positions which he/she currently holds and has disclosed to the CEO on Exhibit A hereof and except as otherwise may be approved in advance by the CEO.</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Compensation and Benefits</w:t>
      </w:r>
      <w:r>
        <w:rPr>
          <w:rFonts w:ascii="Times New Roman" w:hAnsi="Times New Roman"/>
          <w:color w:val="000000"/>
          <w:sz w:val="24"/>
        </w:rPr>
        <w:t>. During the Term, as compensation for all services performed by the Executive under this Agreement and subject to performance of the Executive’s duties and obligations to the Company and its Affiliates, pursuant to this Agreement or otherwise, the Executive shall receive the following:</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4.1 </w:t>
      </w:r>
      <w:r>
        <w:rPr>
          <w:rFonts w:ascii="Times New Roman" w:hAnsi="Times New Roman"/>
          <w:color w:val="000000"/>
          <w:sz w:val="24"/>
          <w:u w:val="single"/>
        </w:rPr>
        <w:t>Base Salary</w:t>
      </w:r>
      <w:r>
        <w:rPr>
          <w:rFonts w:ascii="Times New Roman" w:hAnsi="Times New Roman"/>
          <w:color w:val="000000"/>
          <w:sz w:val="24"/>
        </w:rPr>
        <w:t>. During the Term, the Company shall pay the Executive a base salary at the rate of Four Hundred and Twenty Five Thousand Dollars ($425,000) per year, payable in accordance with the payroll practices of the Company for its executives and subject to such increases as the Board of Directors of the Company or the Compensation Committee (the “</w:t>
      </w:r>
      <w:r>
        <w:rPr>
          <w:rFonts w:ascii="Times New Roman" w:hAnsi="Times New Roman"/>
          <w:color w:val="000000"/>
          <w:sz w:val="24"/>
          <w:u w:val="single"/>
        </w:rPr>
        <w:t>Compensation Committee</w:t>
      </w:r>
      <w:r>
        <w:rPr>
          <w:rFonts w:ascii="Times New Roman" w:hAnsi="Times New Roman"/>
          <w:color w:val="000000"/>
          <w:sz w:val="20"/>
        </w:rPr>
        <w:t>”</w:t>
      </w:r>
      <w:r>
        <w:rPr>
          <w:rFonts w:ascii="Times New Roman" w:hAnsi="Times New Roman"/>
          <w:color w:val="000000"/>
          <w:sz w:val="24"/>
        </w:rPr>
        <w:t>) of the Board of Directors of the Company (the “</w:t>
      </w:r>
      <w:r>
        <w:rPr>
          <w:rFonts w:ascii="Times New Roman" w:hAnsi="Times New Roman"/>
          <w:color w:val="000000"/>
          <w:sz w:val="24"/>
          <w:u w:val="single"/>
        </w:rPr>
        <w:t>Board</w:t>
      </w:r>
      <w:r>
        <w:rPr>
          <w:rFonts w:ascii="Times New Roman" w:hAnsi="Times New Roman"/>
          <w:color w:val="000000"/>
          <w:sz w:val="20"/>
        </w:rPr>
        <w:t>”</w:t>
      </w:r>
      <w:r>
        <w:rPr>
          <w:rFonts w:ascii="Times New Roman" w:hAnsi="Times New Roman"/>
          <w:color w:val="000000"/>
          <w:sz w:val="24"/>
        </w:rPr>
        <w:t>) in its sole discretion may determine from time to time (the “</w:t>
      </w:r>
      <w:r>
        <w:rPr>
          <w:rFonts w:ascii="Times New Roman" w:hAnsi="Times New Roman"/>
          <w:color w:val="000000"/>
          <w:sz w:val="24"/>
          <w:u w:val="single"/>
        </w:rPr>
        <w:t>Base Salary”)</w:t>
      </w:r>
      <w:r>
        <w:rPr>
          <w:rFonts w:ascii="Times New Roman" w:hAnsi="Times New Roman"/>
          <w:color w:val="000000"/>
          <w:sz w:val="24"/>
        </w:rPr>
        <w: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4.2 </w:t>
      </w:r>
      <w:r>
        <w:rPr>
          <w:rFonts w:ascii="Times New Roman" w:hAnsi="Times New Roman"/>
          <w:color w:val="000000"/>
          <w:sz w:val="24"/>
          <w:u w:val="single"/>
        </w:rPr>
        <w:t>Bonus Compensation</w:t>
      </w:r>
      <w:r>
        <w:rPr>
          <w:rFonts w:ascii="Times New Roman" w:hAnsi="Times New Roman"/>
          <w:color w:val="000000"/>
          <w:sz w:val="24"/>
        </w:rPr>
        <w:t>. During the Term, the Executive shall participate in the Company’s Senior Executive Annual Incentive Plan or such other annual bonus plan maintained by the Company for its executives, as it may be amended from time to time pursuant to the terms thereof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and shall be eligible for annual bonus awards thereunder (each annual bonus award, a “</w:t>
      </w:r>
      <w:r>
        <w:rPr>
          <w:rFonts w:ascii="Times New Roman" w:hAnsi="Times New Roman"/>
          <w:color w:val="000000"/>
          <w:sz w:val="24"/>
          <w:u w:val="single"/>
        </w:rPr>
        <w:t>Bonus</w:t>
      </w:r>
      <w:r>
        <w:rPr>
          <w:rFonts w:ascii="Times New Roman" w:hAnsi="Times New Roman"/>
          <w:color w:val="000000"/>
          <w:sz w:val="20"/>
        </w:rPr>
        <w:t>”</w:t>
      </w:r>
      <w:r>
        <w:rPr>
          <w:rFonts w:ascii="Times New Roman" w:hAnsi="Times New Roman"/>
          <w:color w:val="000000"/>
          <w:sz w:val="24"/>
        </w:rPr>
        <w:t>). For purposes of the Plan, the Executive shall be eligible for a Bonus, and the Executive’s specified percentage (the “Specified Percentage”) for such Bonus shall initially be one hundred percent (100%) of Base Salary and shall thereafter be established annually by the Board of Directors (the “Board”) or, if the Board delegates the Specified Percentage determination process to a Committee of the Board, by such Committee. In the event the Board or Committee does not approve the Executive’s Specified Percentage within ninety (90) days of the beginning of a fiscal year, such Specified Percentage shall be the same as the immediately preceding year. Whenever any Bonus payable to the Executive is stated in this Agreement to be prorated for any period of service less than a full year, such Bonus shall be prorated by multiplying (x) the amount of the Bonus otherwise earned and payable for the applicable fiscal year in accordance with this Sub-Section 4.2 by (y) a fraction, the denominator of which shall be three hundred and sixty five (365) and the numerator of which shall be the number of days during the applicable fiscal year for which the Executive was employed by the Company as its Executive Vice President, Supply Chain Services. The Executive agrees and understands that any prorated Bonus payments will be made only after determination of the achievement of the applicable Performance Measures (as defined in the Plan or other performance objectives associated with the Bonus) by the Board or the Compensation Committee in accordance with the terms of the Plan. Any compensation paid to the Executive as a Bonus shall be in addition to the Base Salary.</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Headen Employment Agreement</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4.3 </w:t>
      </w:r>
      <w:r>
        <w:rPr>
          <w:rFonts w:ascii="Times New Roman" w:hAnsi="Times New Roman"/>
          <w:color w:val="000000"/>
          <w:sz w:val="24"/>
          <w:u w:val="single"/>
        </w:rPr>
        <w:t>Paid Time Off (PTO)</w:t>
      </w:r>
      <w:r>
        <w:rPr>
          <w:rFonts w:ascii="Times New Roman" w:hAnsi="Times New Roman"/>
          <w:color w:val="000000"/>
          <w:sz w:val="24"/>
        </w:rPr>
        <w:t>. During the Term, the Executive shall be entitled to four (4) weeks of vacation per calendar year, to be taken at such times and intervals as shall be determined by the Executive, subject to the reasonable business needs of the Company. The Executive may not accumulate or carry over from one (1) calendar year to another any unused, accrued vacation time. The Executive shall not be entitled to compensation for vacation time not taken. In addition, the Executive shall be entitled to five (5) days of emergency/medical PTO per calendar year.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4.4 </w:t>
      </w:r>
      <w:r>
        <w:rPr>
          <w:rFonts w:ascii="Times New Roman" w:hAnsi="Times New Roman"/>
          <w:color w:val="000000"/>
          <w:sz w:val="24"/>
          <w:u w:val="single"/>
        </w:rPr>
        <w:t>Other Benefits</w:t>
      </w:r>
      <w:r>
        <w:rPr>
          <w:rFonts w:ascii="Times New Roman" w:hAnsi="Times New Roman"/>
          <w:color w:val="000000"/>
          <w:sz w:val="24"/>
        </w:rPr>
        <w:t>. During the Term and subject to any contribution therefor required of executives of the Company generally, the Executive shall be entitled to participate in all employee benefit plans, including without limitation any 401(k) plan, from time to time adopted by the Board and in effect for executives of the Company generally (except to the extent such plans are in a category of benefit otherwise provided the Executive hereunder). Such participation shall be subject to (i) the terms of the applicable plan documents and (ii) generally applicable policies of the Company. The Company may alter, modify, add to or delete any aspects of its employee benefit plans at any time as the Board, in its sole judgment, determines to be appropriate. Additionally, the Executive shall receive a standard relocation package at the beginning of the Executive’s employment for relocation of Executive to the Ann Arbor, Michigan area, in accordance with the Company’s policies in relation to its executive officers.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4.5 </w:t>
      </w:r>
      <w:r>
        <w:rPr>
          <w:rFonts w:ascii="Times New Roman" w:hAnsi="Times New Roman"/>
          <w:color w:val="000000"/>
          <w:sz w:val="24"/>
          <w:u w:val="single"/>
        </w:rPr>
        <w:t>Business Expenses</w:t>
      </w:r>
      <w:r>
        <w:rPr>
          <w:rFonts w:ascii="Times New Roman" w:hAnsi="Times New Roman"/>
          <w:color w:val="000000"/>
          <w:sz w:val="24"/>
        </w:rPr>
        <w:t>. The Company shall pay or reimburse the Executive for all reasonable business expenses, including without limitation the cost of first class air travel and dues for industry-related association memberships, incurred or paid by the Executive in the performance of his/her duties and responsibilities hereunder, subject to (i) any expense policy of the Company set by the Board from time to time, including without limitation any portion thereof intended to comply with Section 409A of the Internal Revenue Code of 1986, as amended, and the regulations and other guidance thereunder (“</w:t>
      </w:r>
      <w:r>
        <w:rPr>
          <w:rFonts w:ascii="Times New Roman" w:hAnsi="Times New Roman"/>
          <w:color w:val="000000"/>
          <w:sz w:val="24"/>
          <w:u w:val="single"/>
        </w:rPr>
        <w:t>Section 409A</w:t>
      </w:r>
      <w:r>
        <w:rPr>
          <w:rFonts w:ascii="Times New Roman" w:hAnsi="Times New Roman"/>
          <w:color w:val="000000"/>
          <w:sz w:val="20"/>
        </w:rPr>
        <w:t>”</w:t>
      </w:r>
      <w:r>
        <w:rPr>
          <w:rFonts w:ascii="Times New Roman" w:hAnsi="Times New Roman"/>
          <w:color w:val="000000"/>
          <w:sz w:val="24"/>
        </w:rPr>
        <w:t>), and (ii) such reasonable substantiation and documentation requirements as may be specified by the Board or the CEO from time to time.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4.6 </w:t>
      </w:r>
      <w:r>
        <w:rPr>
          <w:rFonts w:ascii="Times New Roman" w:hAnsi="Times New Roman"/>
          <w:color w:val="000000"/>
          <w:sz w:val="24"/>
          <w:u w:val="single"/>
        </w:rPr>
        <w:t>Airline Clubs</w:t>
      </w:r>
      <w:r>
        <w:rPr>
          <w:rFonts w:ascii="Times New Roman" w:hAnsi="Times New Roman"/>
          <w:color w:val="000000"/>
          <w:sz w:val="24"/>
        </w:rPr>
        <w:t>. Upon receiving the prior written approval of the CEO authorizing the Executive to join a particular airline club, the Company shall pay or reimburse the Executive for dues for not less than two (2) nor more than four (4) airline clubs, provided that such club memberships serve a direct business purpose and subject to such reasonable substantiation and documentation requirements as to cost and purpose as may be specified by the Company from time to time.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4.7 </w:t>
      </w:r>
      <w:r>
        <w:rPr>
          <w:rFonts w:ascii="Times New Roman" w:hAnsi="Times New Roman"/>
          <w:color w:val="000000"/>
          <w:sz w:val="24"/>
          <w:u w:val="single"/>
        </w:rPr>
        <w:t>Physicals</w:t>
      </w:r>
      <w:r>
        <w:rPr>
          <w:rFonts w:ascii="Times New Roman" w:hAnsi="Times New Roman"/>
          <w:color w:val="000000"/>
          <w:sz w:val="24"/>
        </w:rPr>
        <w:t>. During the Term, the Company shall annually pay for or reimburse the Executive for the cost of a physical examination and health evaluation performed by a licensed medical doctor, subject to such reasonable substantiation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Headen Employment Agreement</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and documentation requirements as to cost as may be specified by the Board or the Company from time to time.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Termination of Employment and Severance Benefits</w:t>
      </w:r>
      <w:r>
        <w:rPr>
          <w:rFonts w:ascii="Times New Roman" w:hAnsi="Times New Roman"/>
          <w:color w:val="000000"/>
          <w:sz w:val="24"/>
        </w:rPr>
        <w:t>. The Executive’s employment hereunder shall continue until terminated under the circumstances described in this Section 5. All references herein to termination of employment, separation from service and similar or correlative terms, insofar as they are relevant to the payment of any benefit that could constitute nonqualified deferred compensation subject to Section 409A, shall be construed to require a “separation from service” within the meaning of Section 409A (after giving effect to the presumptions contained therein), and the Company and the Executive shall use reasonable efforts to take all steps necessary (including with regard to any post-termination services by the Executive) to ensure that any such termination constitutes a “separation from service” as so defined.</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5.1 </w:t>
      </w:r>
      <w:r>
        <w:rPr>
          <w:rFonts w:ascii="Times New Roman" w:hAnsi="Times New Roman"/>
          <w:color w:val="000000"/>
          <w:sz w:val="24"/>
          <w:u w:val="single"/>
        </w:rPr>
        <w:t>Retirement or Death</w:t>
      </w:r>
      <w:r>
        <w:rPr>
          <w:rFonts w:ascii="Times New Roman" w:hAnsi="Times New Roman"/>
          <w:color w:val="000000"/>
          <w:sz w:val="24"/>
        </w:rPr>
        <w:t>. In the event of the Executive’s retirement or death during the Term, the Executive’s employment hereunder shall immediately and automatically terminate. In the event of the Executive’s retirement after the age of 65 with the prior consent of the Board or death during the Term, the Company shall pay to the Executive (or in the case of death, the Executive’s designated beneficiary (or, if no beneficiary has been designated by the Executive, to Executive’s estate) within thirty (30) days following death (or at such earlier time as may be required by applicable law), any Base Salary earned but unpaid through the date of such retirement or death, and any Bonus for the fiscal year preceding the year in which such retirement or death occurs that was earned but has not yet been paid and, at the times the Company pays its executives bonuses in accordance with its general payroll policies, but no later than two and one half (2½) months following the fiscal year in which earned, an amount equal to that portion of any Bonus earned but unpaid during the fiscal year of such retirement or death (prorated in accordance with Section 4.2).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5.2 </w:t>
      </w:r>
      <w:r>
        <w:rPr>
          <w:rFonts w:ascii="Times New Roman" w:hAnsi="Times New Roman"/>
          <w:color w:val="000000"/>
          <w:sz w:val="24"/>
          <w:u w:val="single"/>
        </w:rPr>
        <w:t>Disability</w:t>
      </w:r>
      <w:r>
        <w:rPr>
          <w:rFonts w:ascii="Times New Roman" w:hAnsi="Times New Roman"/>
          <w:color w:val="000000"/>
          <w:sz w:val="24"/>
        </w:rPr>
        <w: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5.2.1 The Company may terminate the Executive’s employment hereunder, upon notice to the Executive, in the event that the Executive becomes disabled during his/her employment hereunder through any illness, injury, accident or condition of either a physical or psychological nature and, as a result, is unable to perform substantially all of his/her duties and responsibilities hereunder for an aggregate of one hundred twenty (120) days during any period of three hundred sixty-five (365) consecutive calendar days; provided, that if the Executive incurs a leave of absence due to any medically determinable physical or mental impairment that can be expected to result in death or can be expected to last for a continuous period of not less than six (6) months, the Executive, unless he/she earlier returns to service (at a level of service inconsistent with a separation from service under Section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Headen Employment Agreement</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409A) or his/her employment is earlier terminated, shall in all events be deemed to have separated from service not later than by the end of the twenty-ninth (29th) month, commencing with the commencement of such leave of absence.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5.2.2 The Board may designate another employee to act in the Executive’s place during any period of the Executive’s disability. Notwithstanding any such designation, the Executive shall continue to receive the Base Salary in accordance with Section 4.1 and to receive benefits in accordance with Section 4.5, to the extent permitted by the then current terms of the applicable benefit plans and applicable law, until the Executive becomes disabled within the meaning of Section 409A or until the termination of his/her employment, whichever shall first occur. Upon becoming so disabled, or upon such termination, whichever shall first occur, the Company shall promptly and in all events within thirty (30) days (or at such earlier time as may be required by applicable law), pay to the Executive any Base Salary earned but unpaid through the date of such eligibility or termination and any Bonus for the fiscal year preceding the year of such eligibility or termination that was earned but unpaid. At the times the Company pays its executives bonuses generally, but no later than two and one half (2 ½) months after the end of the fiscal year in which the Bonus is earned, the Company shall pay the Executive an amount equal to that portion of any Bonus earned but unpaid during the fiscal year of such eligibility or termination (prorated in accordance with Section 4.2). During the eighteen (18)-month period from the date of such disability (as determined under Section 409A), the Company shall pay the Executive, at its regular pay periods, an amount equal to the difference between the Base Salary and the amounts of any disability income benefits that the Executive receives in respect of such period.</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5.2.3 Except as provided in Section 5.2.2, while receiving disability income payments under any disability income plan maintained by the Company, the Executive shall not be entitled to receive any Base Salary under Section 4.1 or Bonus payments under Section 4.2 but shall continue to participate in benefit plans of the Company in accordance with Section 4.4 and the terms of such plans and applicable law, until the termination of his/her employment. During the eighteen (18)-month period from the date of disability (as determined under Section 409A) or termination, whichever shall first occur, the Company shall contribute to the cost of the Executive’s participation in group medical plans of the Company, provided that the Executive is entitled to continue such participation under applicable law and plan terms.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5.2.4 If any question shall arise as to whether during any period the Executive is disabled through any illness, injury, accident or condition of either a physical or psychological nature so as to be unable to perform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Headen Employment Agreement</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substantially all of his/her duties and responsibilities hereunder, or for purposes of Section 409A, the Executive may, and at the request of the Company shall, submit to a medical examination by a physician selected by the Company to whom the Executive or his/her duly appointed guardian, if any, has no reasonable objection, to determine whether the Executive is so disabled and such determination shall for the purposes of this Agreement be conclusive of the issue. If such question shall arise and the Executive shall fail to submit to such medical examination, the Board’s determination of the issue shall be binding on the Executive.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5.3 </w:t>
      </w:r>
      <w:r>
        <w:rPr>
          <w:rFonts w:ascii="Times New Roman" w:hAnsi="Times New Roman"/>
          <w:color w:val="000000"/>
          <w:sz w:val="24"/>
          <w:u w:val="single"/>
        </w:rPr>
        <w:t>By the Company for Cause</w:t>
      </w:r>
      <w:r>
        <w:rPr>
          <w:rFonts w:ascii="Times New Roman" w:hAnsi="Times New Roman"/>
          <w:color w:val="000000"/>
          <w:sz w:val="24"/>
        </w:rPr>
        <w:t xml:space="preserve">. The Company may terminate the Executive’s employment hereunder for Cause at any time upon notice to the Executive setting forth in reasonable detail the nature of such Cause. The following events or conditions shall constitute “Cause” for termination: (i) the Executive’s willful failure to perform (other than by reason of disability), or gross negligence in the performance of his/her duties to the Company or any of its Affiliates and the continuation of such failure or negligence for a period of ten (10) days after notice to the Executive; (ii) the Executive’s willful failure to perform (other than by reason of disability) any lawful and reasonable directive of the CEO; (iii) the commission of fraud, embezzlement or theft by the Executive with respect to the Company or any of its Affiliates; or (iv) the conviction of the Executive of, or plea by the Executive of </w:t>
      </w:r>
      <w:r>
        <w:rPr>
          <w:rFonts w:ascii="Times New Roman" w:hAnsi="Times New Roman"/>
          <w:i/>
          <w:color w:val="000000"/>
          <w:sz w:val="24"/>
        </w:rPr>
        <w:t xml:space="preserve">nolo contendere </w:t>
      </w:r>
      <w:r>
        <w:rPr>
          <w:rFonts w:ascii="Times New Roman" w:hAnsi="Times New Roman"/>
          <w:color w:val="000000"/>
          <w:sz w:val="24"/>
        </w:rPr>
        <w:t>to, any felony or any other crime involving dishonesty or moral turpitude. Anything to the contrary in this Agreement notwithstanding, upon the giving of notice of termination of the Executive’s employment hereunder for Cause, the Company and its Affiliates shall have no further obligation or liability to the Executive hereunder, other than for Base Salary earned but unpaid through the date of termination. Without limiting the generality of the foregoing, the Executive shall not be entitled to receive any Bonus amounts which have not been paid prior to the date of termination.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5.4 </w:t>
      </w:r>
      <w:r>
        <w:rPr>
          <w:rFonts w:ascii="Times New Roman" w:hAnsi="Times New Roman"/>
          <w:color w:val="000000"/>
          <w:sz w:val="24"/>
          <w:u w:val="single"/>
        </w:rPr>
        <w:t>By the Company Other Than for Cause</w:t>
      </w:r>
      <w:r>
        <w:rPr>
          <w:rFonts w:ascii="Times New Roman" w:hAnsi="Times New Roman"/>
          <w:color w:val="000000"/>
          <w:sz w:val="24"/>
        </w:rPr>
        <w:t>. The Company may terminate the Executive’s employment hereunder other than for Cause at any time upon notice to the Executive. In the event of such termination, the Company shall pay the Executive: (i) promptly following termination and in all events within thirty (30) days thereof (or at such earlier time as may be required by applicable law), any Base Salary earned but unpaid through the date of termination, plus (ii) severance payments for a period to end twelve (12) months after the termination date (the “</w:t>
      </w:r>
      <w:r>
        <w:rPr>
          <w:rFonts w:ascii="Times New Roman" w:hAnsi="Times New Roman"/>
          <w:color w:val="000000"/>
          <w:sz w:val="24"/>
          <w:u w:val="single"/>
        </w:rPr>
        <w:t>Severance Term</w:t>
      </w:r>
      <w:r>
        <w:rPr>
          <w:rFonts w:ascii="Times New Roman" w:hAnsi="Times New Roman"/>
          <w:color w:val="000000"/>
          <w:sz w:val="20"/>
        </w:rPr>
        <w:t>”</w:t>
      </w:r>
      <w:r>
        <w:rPr>
          <w:rFonts w:ascii="Times New Roman" w:hAnsi="Times New Roman"/>
          <w:color w:val="000000"/>
          <w:sz w:val="24"/>
        </w:rPr>
        <w:t>), of which (a) the first severance payment shall be made on the date that is six (6) months from the date of termination and in an amount equal to six (6) times the Executive’s monthly base compensation in effect at the time of such termination and (b) the balance of the severance shall be paid in accordance with the Company’s then current payroll practices (currently biweekly payments) over the next six (6) months through the date that is twelve (12) months from the date of termination, each such payment in an amount equal to the Base Salary in effect at the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Headen Employment Agreement</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time of such termination dependent on payroll practices of the Company (i.e., 1/12th of the Base Salary, 1/24th of the Base Salary, 1/26th of Base Salary, etc.), plus (iii) promptly following termination and in all events within thirty (30) days thereof, any unpaid portion of any Bonus for the fiscal year preceding the year in which such termination occurs that was earned but has not been paid, plus (iv) at the times the Company pays its executives bonuses generally, but no later than two and one half (2 ½) months after the end of the fiscal year in which the Bonus is earned, an amount equal to that portion of any Bonus earned but unpaid during the fiscal year of such termination (prorated in accordance with Section 4.2), plus (v) vested, outstanding equity grants under the Stock Plan, in accordance with the terms thereof and any applicable award agreements.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5.5 </w:t>
      </w:r>
      <w:r>
        <w:rPr>
          <w:rFonts w:ascii="Times New Roman" w:hAnsi="Times New Roman"/>
          <w:color w:val="000000"/>
          <w:sz w:val="24"/>
          <w:u w:val="single"/>
        </w:rPr>
        <w:t>By the Executive for Good Reason</w:t>
      </w:r>
      <w:r>
        <w:rPr>
          <w:rFonts w:ascii="Times New Roman" w:hAnsi="Times New Roman"/>
          <w:color w:val="000000"/>
          <w:sz w:val="24"/>
        </w:rPr>
        <w:t>. The Executive may terminate his/her employment hereunder for Good Reason, provided that (a) the Executive provides written notice to the Company, setting forth in reasonable detail the nature of the condition giving rise to Good Reason, within ninety (90) days after the initial existence of such condition, (b) the condition remains uncured by the Company for a period of thirty (30) days following such notice and (c) the Executive terminates his/her employment, if at all, not later than thirty (30) days after the expiration of such cure period. The following shall constitute “Good Reason” for termination by the Executive: (i) any material diminution in the nature and scope of the Executive’s responsibilities, duties, authority or title, however, a change in reporting structure shall not constitute a material diminution of authority; (ii) material failure of the Company to provide the Executive the Base Salary and benefits in accordance with the terms of Section 4 hereof; or (iii) relocation of the Executive’s office to a location outside a fifty (50)-mile radius of the Company’s current headquarters in Ann Arbor, Michigan. In the event of termination in accordance with this Section 5.5, then the Company shall pay the Executive the amounts specified in Section 5.4.</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5.6 </w:t>
      </w:r>
      <w:r>
        <w:rPr>
          <w:rFonts w:ascii="Times New Roman" w:hAnsi="Times New Roman"/>
          <w:color w:val="000000"/>
          <w:sz w:val="24"/>
          <w:u w:val="single"/>
        </w:rPr>
        <w:t>By the Executive Other Than for Good Reason</w:t>
      </w:r>
      <w:r>
        <w:rPr>
          <w:rFonts w:ascii="Times New Roman" w:hAnsi="Times New Roman"/>
          <w:color w:val="000000"/>
          <w:sz w:val="24"/>
        </w:rPr>
        <w:t>. The Executive may terminate employment hereunder at any time upon ninety (90) days’ written notice to the Company. In the event of termination of the Executive’s employment pursuant to this Section 5.6, the CEO or the Board may elect to waive the period of notice or any portion thereof. The Company will pay the Executive the Base Salary for the notice period, except to the extent that the notice period is waived by the Board. Upon the giving of notice of termination of the Executive’s employment hereunder pursuant to this Section 5.6, the Company and its Affiliates shall have no further obligation or liability to the Executive, other than (i) payment to the Executive of the Base Salary for the period (or portion of such period) indicated above, (ii) continuation of the provision of the benefits set forth in Section 4.4 for the period (or portion of such period) indicated above, and (iii) any unpaid portion of any Bonus for the fiscal year preceding the year in which such termination occurs that was earned but has not been paid. The payments made under subsections (i) and (iii)</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Headen Employment Agreement</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hereof shall be made promptly following termination and in all events within thirty (30) days thereof (or at such earlier time as may be required by applicable law).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5.7 </w:t>
      </w:r>
      <w:r>
        <w:rPr>
          <w:rFonts w:ascii="Times New Roman" w:hAnsi="Times New Roman"/>
          <w:color w:val="000000"/>
          <w:sz w:val="24"/>
          <w:u w:val="single"/>
        </w:rPr>
        <w:t>Post-Agreement Employment</w:t>
      </w:r>
      <w:r>
        <w:rPr>
          <w:rFonts w:ascii="Times New Roman" w:hAnsi="Times New Roman"/>
          <w:color w:val="000000"/>
          <w:sz w:val="24"/>
        </w:rPr>
        <w:t>. In the event the Executive remains in the employ of the Company or any of its Affiliates following termination of this Agreement, then such employment shall be at will.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5.8 </w:t>
      </w:r>
      <w:r>
        <w:rPr>
          <w:rFonts w:ascii="Times New Roman" w:hAnsi="Times New Roman"/>
          <w:color w:val="000000"/>
          <w:sz w:val="24"/>
          <w:u w:val="single"/>
        </w:rPr>
        <w:t>Delayed Payments for Specified Employees</w:t>
      </w:r>
      <w:r>
        <w:rPr>
          <w:rFonts w:ascii="Times New Roman" w:hAnsi="Times New Roman"/>
          <w:color w:val="000000"/>
          <w:sz w:val="24"/>
        </w:rPr>
        <w:t>. Notwithstanding the foregoing provisions of this Section 5, if the Executive is a “specified employee” as defined in Section 409A, determined in accordance with the methodology established by the Company as in effect on the Executive’s termination, amounts payable hereunder on account of the Executive’s termination that would constitute nonqualified deferred compensation for purposes of Section 409A and that would, but for this Section 5.8, be payable within the six (6) month period commencing with the Executive’s termination shall instead be accumulated and paid, with interest at the applicable federal rate determined under Code Section 7872(f)(2)(A), in a lump sum at the conclusion of such six (6)-month period.</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Effect of Termination of Employment</w:t>
      </w:r>
      <w:r>
        <w:rPr>
          <w:rFonts w:ascii="Times New Roman" w:hAnsi="Times New Roman"/>
          <w:color w:val="000000"/>
          <w:sz w:val="24"/>
        </w:rPr>
        <w:t>. The provisions of this Section 6 shall apply in the event of any termination of the Executive’s employment pursuant to Section 5 of this Agreement.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6.1 </w:t>
      </w:r>
      <w:r>
        <w:rPr>
          <w:rFonts w:ascii="Times New Roman" w:hAnsi="Times New Roman"/>
          <w:color w:val="000000"/>
          <w:sz w:val="24"/>
          <w:u w:val="single"/>
        </w:rPr>
        <w:t>Payment in Full</w:t>
      </w:r>
      <w:r>
        <w:rPr>
          <w:rFonts w:ascii="Times New Roman" w:hAnsi="Times New Roman"/>
          <w:color w:val="000000"/>
          <w:sz w:val="24"/>
        </w:rPr>
        <w:t>. Payment by the Company or its Affiliates of any Base Salary, Bonus or other specified amounts that are due to the Executive under the applicable termination provision of Section 5 shall constitute the entire obligation of the Company and its Affiliates to the Executive, except that nothing in this Section 6.1 is intended or shall be construed to affect the rights and obligations of the Company or its Affiliates, on the one hand, and the Executive, on the other, with respect to the Stock Plan or any other equity plan or award agreements thereunder or any other agreements to the extent said rights or obligations therein survive termination of employment.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6.2 </w:t>
      </w:r>
      <w:r>
        <w:rPr>
          <w:rFonts w:ascii="Times New Roman" w:hAnsi="Times New Roman"/>
          <w:color w:val="000000"/>
          <w:sz w:val="24"/>
          <w:u w:val="single"/>
        </w:rPr>
        <w:t>Termination of Benefits</w:t>
      </w:r>
      <w:r>
        <w:rPr>
          <w:rFonts w:ascii="Times New Roman" w:hAnsi="Times New Roman"/>
          <w:color w:val="000000"/>
          <w:sz w:val="24"/>
        </w:rPr>
        <w:t>. If the Executive’s employment is terminated by the Company without Cause, or if the Executive terminates employment with the Company for Good Reason, and provided that Executive elects continuation of health coverage pursuant to Section 601 through 608 of the Employee Retirement Income Security Act of 1974, as amended (“</w:t>
      </w:r>
      <w:r>
        <w:rPr>
          <w:rFonts w:ascii="Times New Roman" w:hAnsi="Times New Roman"/>
          <w:color w:val="000000"/>
          <w:sz w:val="24"/>
          <w:u w:val="single"/>
        </w:rPr>
        <w:t>COBRA</w:t>
      </w:r>
      <w:r>
        <w:rPr>
          <w:rFonts w:ascii="Times New Roman" w:hAnsi="Times New Roman"/>
          <w:color w:val="000000"/>
          <w:sz w:val="20"/>
        </w:rPr>
        <w:t>”</w:t>
      </w:r>
      <w:r>
        <w:rPr>
          <w:rFonts w:ascii="Times New Roman" w:hAnsi="Times New Roman"/>
          <w:color w:val="000000"/>
          <w:sz w:val="24"/>
        </w:rPr>
        <w:t>), the Company shall pay the Executive or pay directly to the COBRA administrator, at the election of the Company, an amount equal to the monthly COBRA premiums for the Severance Term; provided, however, that such payments will cease upon the Executive’s entitlement to other health insurance without charge. Except for medical insurance coverage continued pursuant to Section 6.2 hereof, all other benefits shall terminate pursuant to the terms of the applicable benefit plans based on the date of termination of the Executive’s employment without regard to any continuation of Base Salary or other payments to</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Headen Employment Agreement</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the Executive following termination of employment. Notwithstanding the foregoing, in the event that the Company’s payment or reimbursement under this Section 6.2 would subject the Executive or the Company to any tax or penalty under the Patient Protection and Affordable Care Act (as amended from time to time, the “</w:t>
      </w:r>
      <w:r>
        <w:rPr>
          <w:rFonts w:ascii="Times New Roman" w:hAnsi="Times New Roman"/>
          <w:color w:val="000000"/>
          <w:sz w:val="24"/>
          <w:u w:val="single"/>
        </w:rPr>
        <w:t>ACA</w:t>
      </w:r>
      <w:r>
        <w:rPr>
          <w:rFonts w:ascii="Times New Roman" w:hAnsi="Times New Roman"/>
          <w:color w:val="000000"/>
          <w:sz w:val="20"/>
        </w:rPr>
        <w:t>”</w:t>
      </w:r>
      <w:r>
        <w:rPr>
          <w:rFonts w:ascii="Times New Roman" w:hAnsi="Times New Roman"/>
          <w:color w:val="000000"/>
          <w:sz w:val="24"/>
        </w:rPr>
        <w:t>) or Section 105(h) of the Internal Revenue Code of 1986, as amended (“</w:t>
      </w:r>
      <w:r>
        <w:rPr>
          <w:rFonts w:ascii="Times New Roman" w:hAnsi="Times New Roman"/>
          <w:color w:val="000000"/>
          <w:sz w:val="24"/>
          <w:u w:val="single"/>
        </w:rPr>
        <w:t>Section 105(h)</w:t>
      </w:r>
      <w:r>
        <w:rPr>
          <w:rFonts w:ascii="Times New Roman" w:hAnsi="Times New Roman"/>
          <w:color w:val="000000"/>
          <w:sz w:val="20"/>
        </w:rPr>
        <w:t>”</w:t>
      </w:r>
      <w:r>
        <w:rPr>
          <w:rFonts w:ascii="Times New Roman" w:hAnsi="Times New Roman"/>
          <w:color w:val="000000"/>
          <w:sz w:val="24"/>
        </w:rPr>
        <w:t>), or applicable regulations or guidance issued under the ACA or Section 105(h), the Executive and the Company agree to work together in good faith, consistent with the requirements for compliance with or exemption from Section 409A, to restructure such benefit.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6.3</w:t>
      </w:r>
    </w:p>
    <w:p>
      <w:pPr>
        <w:pStyle w:val="TextBody"/>
        <w:bidi w:val="0"/>
        <w:jc w:val="both"/>
        <w:rPr/>
      </w:pPr>
      <w:r>
        <w:rPr>
          <w:rFonts w:ascii="Times New Roman" w:hAnsi="Times New Roman"/>
          <w:color w:val="000000"/>
          <w:sz w:val="24"/>
          <w:u w:val="single"/>
        </w:rPr>
        <w:t>Survival of Certain Provisions; Release of Claims</w:t>
      </w:r>
      <w:r>
        <w:rPr>
          <w:rFonts w:ascii="Times New Roman" w:hAnsi="Times New Roman"/>
          <w:color w:val="000000"/>
          <w:sz w:val="24"/>
        </w:rPr>
        <w:t>. Provisions of this Agreement shall survive any termination of employment if so provided herein or if necessary or desirable fully to accomplish the purpose of other surviving provisions, including, without limitation, the obligations of the Executive under Sections 7 and 8 hereof. The obligation of the Company to make payments to or on behalf of the Executive under Section 5.2, 5.4, 5.5 or 6.2 hereof (other than any Base Salary that is earned but unpaid through the date of termination) is expressly conditioned upon (a) the Executive’s continued full performance of his/her obligations under Sections 7 and 8 hereof and (b) the Executive’s execution of a timely and effective general release of claims in a form provided by the Company at the time of termination, which general release of claims must become effective, if at all, within sixty (60) days following termination of the Executive’s employment. The Executive recognizes that, except as expressly provided in Section 5.2, 5.4, 5.5 or 6.2, no compensation or benefits are earned after termination of employment.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Confidential Information; Intellectual Property</w:t>
      </w:r>
      <w:r>
        <w:rPr>
          <w:rFonts w:ascii="Times New Roman" w:hAnsi="Times New Roman"/>
          <w:color w:val="000000"/>
          <w:sz w:val="24"/>
        </w:rPr>
        <w: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7.1 </w:t>
      </w:r>
      <w:r>
        <w:rPr>
          <w:rFonts w:ascii="Times New Roman" w:hAnsi="Times New Roman"/>
          <w:color w:val="000000"/>
          <w:sz w:val="24"/>
          <w:u w:val="single"/>
        </w:rPr>
        <w:t>Confidentiality</w:t>
      </w:r>
      <w:r>
        <w:rPr>
          <w:rFonts w:ascii="Times New Roman" w:hAnsi="Times New Roman"/>
          <w:color w:val="000000"/>
          <w:sz w:val="24"/>
        </w:rPr>
        <w:t>. The Executive acknowledges that the Company and its Affiliates continually develop Confidential Information (as that term is defined in Section 11.2, below); that the Executive has developed and will continue to develop Confidential Information for the Company and its Affiliates and that the Executive has learned and will continue to learn of Confidential Information during the course of his/her employment. The Executive will comply with the policies and procedures of the Company and its Affiliates for protecting Confidential Information and shall never use or disclose to any Person (except as required by applicable law or for the proper performance of his/her duties and responsibilities to the Company) any Confidential Information obtained by the Executive incident to his/her employment or other association with the Company or any of its Affiliates. The Executive understands that this restriction shall continue to apply after employment terminates, regardless of the reason for such termination. For the avoidance of doubt, (a) nothing contained in this Agreement limits, restricts or in any other way affects the Executive’s communicating with any governmental agency or entity, or communicating with any official or staff person of a governmental agency or entity, concerning matters relevant to such governmental agency or entity and (b) the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Headen Employment Agreement</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Executive will 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notwithstanding this immunity from liability, the Executive may be held liable if he/she unlawfully accesses trade secrets by unauthorized means.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7.2 </w:t>
      </w:r>
      <w:r>
        <w:rPr>
          <w:rFonts w:ascii="Times New Roman" w:hAnsi="Times New Roman"/>
          <w:color w:val="000000"/>
          <w:sz w:val="24"/>
          <w:u w:val="single"/>
        </w:rPr>
        <w:t>Return of Documents</w:t>
      </w:r>
      <w:r>
        <w:rPr>
          <w:rFonts w:ascii="Times New Roman" w:hAnsi="Times New Roman"/>
          <w:color w:val="000000"/>
          <w:sz w:val="24"/>
        </w:rPr>
        <w:t>. All documents, records, tapes and other media of every kind and description relating to the business, present or otherwise, of the Company or any of its Affiliates and any copies, in whole or in part, thereof (the “</w:t>
      </w:r>
      <w:r>
        <w:rPr>
          <w:rFonts w:ascii="Times New Roman" w:hAnsi="Times New Roman"/>
          <w:color w:val="000000"/>
          <w:sz w:val="24"/>
          <w:u w:val="single"/>
        </w:rPr>
        <w:t>Documents</w:t>
      </w:r>
      <w:r>
        <w:rPr>
          <w:rFonts w:ascii="Times New Roman" w:hAnsi="Times New Roman"/>
          <w:color w:val="000000"/>
          <w:sz w:val="20"/>
        </w:rPr>
        <w:t>”</w:t>
      </w:r>
      <w:r>
        <w:rPr>
          <w:rFonts w:ascii="Times New Roman" w:hAnsi="Times New Roman"/>
          <w:color w:val="000000"/>
          <w:sz w:val="24"/>
        </w:rPr>
        <w:t>), whether or not prepared by the Executive, shall be the sole and exclusive property of the Company and its Affiliates. The Executive shall safeguard all Documents and shall surrender to the Company and its Affiliates at the time employment terminates, or at such earlier time or times as the Board, the CEO or the Board’s other designee may specify, all Documents then in the Executive’s possession or control.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7.3 </w:t>
      </w:r>
      <w:r>
        <w:rPr>
          <w:rFonts w:ascii="Times New Roman" w:hAnsi="Times New Roman"/>
          <w:color w:val="000000"/>
          <w:sz w:val="24"/>
          <w:u w:val="single"/>
        </w:rPr>
        <w:t>Assignment of Rights to Intellectual Property</w:t>
      </w:r>
      <w:r>
        <w:rPr>
          <w:rFonts w:ascii="Times New Roman" w:hAnsi="Times New Roman"/>
          <w:color w:val="000000"/>
          <w:sz w:val="24"/>
        </w:rPr>
        <w:t>. The Executive shall promptly and fully disclose all Intellectual Property to the Company. The Executive hereby assigns and agrees to assign to the Company (or as otherwise directed by the Company) the Executive’s full right, title and interest in and to all Intellectual Property. The Executive shall execute any and all applications for domestic and foreign patents, copyrights or other proprietary rights and to do such other acts (including without limitation the execution and delivery of instruments of further assurance or confirmation) requested by the Company or its Affiliates to assign the Intellectual Property to the Company (or as otherwise directed by the Company) and to permit the Company and its Affiliates to enforce any patents, copyrights or other proprietary rights to the Intellectual Property. The Executive will not charge the Company or any of its Affiliates for time spent in complying with these obligations. All copyrightable works that the Executive creates during his/her employment with the Company shall be considered “work made for hire” and will, upon creation, be owned exclusively by the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Restricted Activities</w:t>
      </w:r>
      <w:r>
        <w:rPr>
          <w:rFonts w:ascii="Times New Roman" w:hAnsi="Times New Roman"/>
          <w:color w:val="000000"/>
          <w:sz w:val="24"/>
        </w:rPr>
        <w: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8.1 </w:t>
      </w:r>
      <w:r>
        <w:rPr>
          <w:rFonts w:ascii="Times New Roman" w:hAnsi="Times New Roman"/>
          <w:color w:val="000000"/>
          <w:sz w:val="24"/>
          <w:u w:val="single"/>
        </w:rPr>
        <w:t>Agreement Not to Compete With the Company</w:t>
      </w:r>
      <w:r>
        <w:rPr>
          <w:rFonts w:ascii="Times New Roman" w:hAnsi="Times New Roman"/>
          <w:color w:val="000000"/>
          <w:sz w:val="24"/>
        </w:rPr>
        <w:t>. During the Executive’s employment hereunder and for a period of twenty four (24) months following the date of termination thereof (the “</w:t>
      </w:r>
      <w:r>
        <w:rPr>
          <w:rFonts w:ascii="Times New Roman" w:hAnsi="Times New Roman"/>
          <w:color w:val="000000"/>
          <w:sz w:val="24"/>
          <w:u w:val="single"/>
        </w:rPr>
        <w:t>Non-Competition Period</w:t>
      </w:r>
      <w:r>
        <w:rPr>
          <w:rFonts w:ascii="Times New Roman" w:hAnsi="Times New Roman"/>
          <w:color w:val="000000"/>
          <w:sz w:val="20"/>
        </w:rPr>
        <w:t>”</w:t>
      </w:r>
      <w:r>
        <w:rPr>
          <w:rFonts w:ascii="Times New Roman" w:hAnsi="Times New Roman"/>
          <w:color w:val="000000"/>
          <w:sz w:val="24"/>
        </w:rPr>
        <w:t>), the Executive will not, directly or indirectly, own, manage, operate, control or participate in any manner in the ownership, management, operation or control of, or be connected as an officer, employee, partner, director, principal, member, manager, consultant, agent or otherwise with, or have any financial interest in, or aid or assist anyone else in the conduct of, any business, venture or activity which in any material respect competes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Headen Employment Agreement</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with the following enumerated business activities to the extent then being conducted or being planned to be conducted by the Company or its Affiliates or being conducted or known by the Executive to being planned to be conducted by the Company or by any of its Affiliates, at or prior to the date on which the Executive’s employment under this Agreement is terminated (the “Date of Termination”), in the United States or any other geographic area where such business is being conducted or being planned to be conducted at or prior to the Date of Termination (a “Competitive Business”, defined below). For purposes of this Agreement, “Competitive Business” shall be defined as: (i) any company or other entity engaged as a “quick service restaurant” (“QSR”) which offers pizza for sale; (ii) any “quick service restaurant” which is then contemplating entering into the pizza business or adding pizza to its menu; (iii) any entity which at the time of Executive’s termination of employment with the Company, offers, as a primary product or service, products or services then being offered by the Company or which the Company is actively contemplating offering; and (iv) any entity under common control with an entity included in (i), (ii) or (iii), above. Notwithstanding the foregoing, ownership of not more than five percent (5%) of any class of equity security of any publicly traded corporation shall not, of itself, constitute a violation of this Section 8.1.</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8.2 </w:t>
      </w:r>
      <w:r>
        <w:rPr>
          <w:rFonts w:ascii="Times New Roman" w:hAnsi="Times New Roman"/>
          <w:color w:val="000000"/>
          <w:sz w:val="24"/>
          <w:u w:val="single"/>
        </w:rPr>
        <w:t>Agreement Not to Solicit Employees or Customers of the Company</w:t>
      </w:r>
      <w:r>
        <w:rPr>
          <w:rFonts w:ascii="Times New Roman" w:hAnsi="Times New Roman"/>
          <w:color w:val="000000"/>
          <w:sz w:val="24"/>
        </w:rPr>
        <w:t>. During employment and during the Non-Competition Period the Executive will not, directly or indirectly, (i) recruit or hire or otherwise seek to induce any employees of the Company or any of the Company’s Affiliates to terminate his/her employment or violate any agreement with or duty to the Company or any of the Company’s Affiliates; or (ii) solicit or encourage any franchisee or vendor of the Company or of any of the Company’s Affiliates to terminate or diminish its relationship with any of them or to violate any agreement with any of them, or, in the case of a franchisee, to conduct with any Person any business or activity that such franchisee conducts or could conduct with the Company or any of the Company’s Affiliates.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8.3 </w:t>
      </w:r>
      <w:r>
        <w:rPr>
          <w:rFonts w:ascii="Times New Roman" w:hAnsi="Times New Roman"/>
          <w:color w:val="000000"/>
          <w:sz w:val="24"/>
          <w:u w:val="single"/>
        </w:rPr>
        <w:t>Agreement Not to Disparage</w:t>
      </w:r>
      <w:r>
        <w:rPr>
          <w:rFonts w:ascii="Times New Roman" w:hAnsi="Times New Roman"/>
          <w:color w:val="000000"/>
          <w:sz w:val="24"/>
        </w:rPr>
        <w:t>. The Executive agrees that, during employment and at all times thereafter, he/she will not disparage or criticize the Company, its Affiliates, their business, their management or their products or services, and he/she will not otherwise do or say anything that could disrupt the good morale of employees of the Company or any of its Affiliates or harm the interests or reputation of the Company or any of its Affiliates, but may provide truthful, non-Confidential Information in response to any statement made by the Executive Leadership of the Company with respect to the Executive that he reasonably believes to be disparaging.</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Enforcement of Covenants</w:t>
      </w:r>
      <w:r>
        <w:rPr>
          <w:rFonts w:ascii="Times New Roman" w:hAnsi="Times New Roman"/>
          <w:color w:val="000000"/>
          <w:sz w:val="24"/>
        </w:rPr>
        <w:t>. The Executive acknowledges that he/she has carefully read and considered all the terms and conditions of this Agreement, including without limitation the restraints imposed upon his/her pursuant to Sections 7 and 8 hereof. The Executive agrees that said restraints are necessary for the reasonable and proper protection of the Company and its Affiliates and that each and every one of</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Headen Employment Agreement</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restraints is reasonable in respect to subject matter, length of time and geographic area. The Executive further acknowledges that, were he/she to breach any of the covenants or agreements contained in Sections 7 or 8 hereof, the damage to the Company and its Affiliates could be irreparable. The Executive, therefore, agrees that the Company and its Affiliates, in addition to any other remedies available to it, shall be entitled to preliminary and permanent injunctive relief against any breach or threatened breach by the Executive of any of said covenants or agreements, without having to post bond. The parties further agree that in the event that any provision of Section 7 or 8 hereof shall be determined by any court of competent jurisdiction to be unenforceable by reason of it being extended over too great a time, too large a geographic area or too great a range of activities, such provision shall be deemed to be modified to permit its enforcement to the maximum extent permitted by law.</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Conflicting Agreements</w:t>
      </w:r>
      <w:r>
        <w:rPr>
          <w:rFonts w:ascii="Times New Roman" w:hAnsi="Times New Roman"/>
          <w:color w:val="000000"/>
          <w:sz w:val="24"/>
        </w:rPr>
        <w:t>. The Executive hereby represents and warrants that the execution of this Agreement and the performance of his/her obligations hereunder will not breach or be in conflict with any other agreement to which or by which the Executive is a party or is bound and that the Executive is not now subject to any covenants against competition or solicitation or similar covenants or other obligations that would affect the performance of his/her obligations hereunder. The Executive will not disclose to or use on behalf of the Company or any of its Affiliates any proprietary information of a third party without such party’s consent.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Definitions</w:t>
      </w:r>
      <w:r>
        <w:rPr>
          <w:rFonts w:ascii="Times New Roman" w:hAnsi="Times New Roman"/>
          <w:color w:val="000000"/>
          <w:sz w:val="24"/>
        </w:rPr>
        <w:t>. Words or phrases which are initially capitalized or are within quotation marks shall have the meanings provided in this Section 11 or as specifically defined elsewhere in this Agreement. For purposes of this Agreement, the following definitions apply: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11.1 </w:t>
      </w:r>
      <w:r>
        <w:rPr>
          <w:rFonts w:ascii="Times New Roman" w:hAnsi="Times New Roman"/>
          <w:color w:val="000000"/>
          <w:sz w:val="24"/>
          <w:u w:val="single"/>
        </w:rPr>
        <w:t>Affiliates</w:t>
      </w:r>
      <w:r>
        <w:rPr>
          <w:rFonts w:ascii="Times New Roman" w:hAnsi="Times New Roman"/>
          <w:color w:val="000000"/>
          <w:sz w:val="24"/>
        </w:rPr>
        <w:t>. “</w:t>
      </w:r>
      <w:r>
        <w:rPr>
          <w:rFonts w:ascii="Times New Roman" w:hAnsi="Times New Roman"/>
          <w:color w:val="000000"/>
          <w:sz w:val="24"/>
          <w:u w:val="single"/>
        </w:rPr>
        <w:t>Affiliates</w:t>
      </w:r>
      <w:r>
        <w:rPr>
          <w:rFonts w:ascii="Times New Roman" w:hAnsi="Times New Roman"/>
          <w:color w:val="000000"/>
          <w:sz w:val="20"/>
        </w:rPr>
        <w:t xml:space="preserve">” </w:t>
      </w:r>
      <w:r>
        <w:rPr>
          <w:rFonts w:ascii="Times New Roman" w:hAnsi="Times New Roman"/>
          <w:color w:val="000000"/>
          <w:sz w:val="24"/>
        </w:rPr>
        <w:t>shall mean Domino’s Pizza, Inc., Domino’s, Inc. and all other persons and entities controlling, controlled by or under common control with the Company, where control may be by management authority or equity interest.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11.2 </w:t>
      </w:r>
      <w:r>
        <w:rPr>
          <w:rFonts w:ascii="Times New Roman" w:hAnsi="Times New Roman"/>
          <w:color w:val="000000"/>
          <w:sz w:val="24"/>
          <w:u w:val="single"/>
        </w:rPr>
        <w:t>Confidential Information</w:t>
      </w:r>
      <w:r>
        <w:rPr>
          <w:rFonts w:ascii="Times New Roman" w:hAnsi="Times New Roman"/>
          <w:color w:val="000000"/>
          <w:sz w:val="24"/>
        </w:rPr>
        <w:t>. “</w:t>
      </w:r>
      <w:r>
        <w:rPr>
          <w:rFonts w:ascii="Times New Roman" w:hAnsi="Times New Roman"/>
          <w:color w:val="000000"/>
          <w:sz w:val="24"/>
          <w:u w:val="single"/>
        </w:rPr>
        <w:t>Confidential Information</w:t>
      </w:r>
      <w:r>
        <w:rPr>
          <w:rFonts w:ascii="Times New Roman" w:hAnsi="Times New Roman"/>
          <w:color w:val="000000"/>
          <w:sz w:val="20"/>
        </w:rPr>
        <w:t xml:space="preserve">” </w:t>
      </w:r>
      <w:r>
        <w:rPr>
          <w:rFonts w:ascii="Times New Roman" w:hAnsi="Times New Roman"/>
          <w:color w:val="000000"/>
          <w:sz w:val="24"/>
        </w:rPr>
        <w:t>means any and all information of the Company and its Affiliates that is not generally known by the public. Confidential Information includes without limitation such information relating to (i) the products and services sold or offered by the Company or any of its Affiliates (including without limitation recipes, production processes and heating technology), (ii) the costs, sources of supply, financial performance and strategic plans of the Company and its Affiliates, (iii) the identity of the suppliers of the Company and its Affiliates, and (iv) the people and organizations with whom the Company or any of its Affiliates have business relationships and those relationships. Confidential Information also includes information that the Company or any of its Affiliates have received belonging to others with any understanding, express or implied, that it would not be disclosed.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Headen Employment Agreement</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11.3 </w:t>
      </w:r>
      <w:r>
        <w:rPr>
          <w:rFonts w:ascii="Times New Roman" w:hAnsi="Times New Roman"/>
          <w:color w:val="000000"/>
          <w:sz w:val="24"/>
          <w:u w:val="single"/>
        </w:rPr>
        <w:t>ERISA</w:t>
      </w:r>
      <w:r>
        <w:rPr>
          <w:rFonts w:ascii="Times New Roman" w:hAnsi="Times New Roman"/>
          <w:color w:val="000000"/>
          <w:sz w:val="24"/>
        </w:rPr>
        <w:t>. “</w:t>
      </w:r>
      <w:r>
        <w:rPr>
          <w:rFonts w:ascii="Times New Roman" w:hAnsi="Times New Roman"/>
          <w:color w:val="000000"/>
          <w:sz w:val="24"/>
          <w:u w:val="single"/>
        </w:rPr>
        <w:t>ERISA</w:t>
      </w:r>
      <w:r>
        <w:rPr>
          <w:rFonts w:ascii="Times New Roman" w:hAnsi="Times New Roman"/>
          <w:color w:val="000000"/>
          <w:sz w:val="20"/>
        </w:rPr>
        <w:t xml:space="preserve">” </w:t>
      </w:r>
      <w:r>
        <w:rPr>
          <w:rFonts w:ascii="Times New Roman" w:hAnsi="Times New Roman"/>
          <w:color w:val="000000"/>
          <w:sz w:val="24"/>
        </w:rPr>
        <w:t>means the federal Employee Retirement Income Security Act of 1974, as amended, or any successor statute, and the rules and regulations thereunder, and, in the case of any referenced section thereof, any successor section thereto, collectively and as from time to time amended and in effect.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11.4 </w:t>
      </w:r>
      <w:r>
        <w:rPr>
          <w:rFonts w:ascii="Times New Roman" w:hAnsi="Times New Roman"/>
          <w:color w:val="000000"/>
          <w:sz w:val="24"/>
          <w:u w:val="single"/>
        </w:rPr>
        <w:t>Intellectual Property</w:t>
      </w:r>
      <w:r>
        <w:rPr>
          <w:rFonts w:ascii="Times New Roman" w:hAnsi="Times New Roman"/>
          <w:color w:val="000000"/>
          <w:sz w:val="24"/>
        </w:rPr>
        <w:t>. “</w:t>
      </w:r>
      <w:r>
        <w:rPr>
          <w:rFonts w:ascii="Times New Roman" w:hAnsi="Times New Roman"/>
          <w:color w:val="000000"/>
          <w:sz w:val="24"/>
          <w:u w:val="single"/>
        </w:rPr>
        <w:t>Intellectual Property</w:t>
      </w:r>
      <w:r>
        <w:rPr>
          <w:rFonts w:ascii="Times New Roman" w:hAnsi="Times New Roman"/>
          <w:color w:val="000000"/>
          <w:sz w:val="20"/>
        </w:rPr>
        <w:t xml:space="preserve">” </w:t>
      </w:r>
      <w:r>
        <w:rPr>
          <w:rFonts w:ascii="Times New Roman" w:hAnsi="Times New Roman"/>
          <w:color w:val="000000"/>
          <w:sz w:val="24"/>
        </w:rPr>
        <w:t>means inventions, discoveries, developments, methods, processes, compositions, works, concepts, recipes and ideas (whether or not patentable or copyrightable or constituting trade secrets or trademarks or service marks) conceived, made, created, developed or reduced to practice by the Executive (whether alone or with others, whether or not during normal business hours or on or off Company premises) during the Executive’s employment that relate to either the business activities or any prospective activity of the Company or any of its Affiliates or that result from any work performed by the Executive for the Company or any of its Affiliates or that make use of Confidential Information or any of the equipment or facilities of the Company or any of its Affiliates.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11.5 </w:t>
      </w:r>
      <w:r>
        <w:rPr>
          <w:rFonts w:ascii="Times New Roman" w:hAnsi="Times New Roman"/>
          <w:color w:val="000000"/>
          <w:sz w:val="24"/>
          <w:u w:val="single"/>
        </w:rPr>
        <w:t>Person</w:t>
      </w:r>
      <w:r>
        <w:rPr>
          <w:rFonts w:ascii="Times New Roman" w:hAnsi="Times New Roman"/>
          <w:color w:val="000000"/>
          <w:sz w:val="24"/>
        </w:rPr>
        <w:t>. “</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 individual, a corporation, an association, a partnership, a limited liability company, an estate, a trust and any other entity or organization, other than the Company or any of its Affiliates.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12. </w:t>
      </w:r>
      <w:r>
        <w:rPr>
          <w:rFonts w:ascii="Times New Roman" w:hAnsi="Times New Roman"/>
          <w:color w:val="000000"/>
          <w:sz w:val="24"/>
          <w:u w:val="single"/>
        </w:rPr>
        <w:t>Withholding/Other Tax Matters</w:t>
      </w:r>
      <w:r>
        <w:rPr>
          <w:rFonts w:ascii="Times New Roman" w:hAnsi="Times New Roman"/>
          <w:color w:val="000000"/>
          <w:sz w:val="24"/>
        </w:rPr>
        <w:t>. All payments made by the Company under this Agreement shall be reduced by any tax or other amounts required to be withheld by the Company under applicable law. This Agreement shall be construed consistent with the intent that all payment and benefits hereunder comply with the requirements of, or the requirements for exemption from, Section 409A. Notwithstanding the foregoing, the Company shall not be liable to the Executive for any failure to comply with any such requirements.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13. </w:t>
      </w:r>
      <w:r>
        <w:rPr>
          <w:rFonts w:ascii="Times New Roman" w:hAnsi="Times New Roman"/>
          <w:color w:val="000000"/>
          <w:sz w:val="24"/>
          <w:u w:val="single"/>
        </w:rPr>
        <w:t>Miscellaneous</w:t>
      </w:r>
      <w:r>
        <w:rPr>
          <w:rFonts w:ascii="Times New Roman" w:hAnsi="Times New Roman"/>
          <w:color w:val="000000"/>
          <w:sz w:val="24"/>
        </w:rPr>
        <w: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13.1 </w:t>
      </w:r>
      <w:r>
        <w:rPr>
          <w:rFonts w:ascii="Times New Roman" w:hAnsi="Times New Roman"/>
          <w:color w:val="000000"/>
          <w:sz w:val="24"/>
          <w:u w:val="single"/>
        </w:rPr>
        <w:t>Assignment</w:t>
      </w:r>
      <w:r>
        <w:rPr>
          <w:rFonts w:ascii="Times New Roman" w:hAnsi="Times New Roman"/>
          <w:color w:val="000000"/>
          <w:sz w:val="24"/>
        </w:rPr>
        <w:t>. Neither the Company nor the Executive may assign this Agreement or any interest herein, by operation of law or otherwise, without the prior written consent of the other; provided, however, that the Company may assign its rights and obligations under this Agreement without the consent of the Executive in the event that the Company shall hereafter affect a reorganization, consolidate with, or merge into, any other Person or transfer all or substantially all of its properties or assets to any other Person, in which event such other Person shall be deemed the “Company” hereunder, as applicable, for all purposes of this Agreement; provided, further, that nothing contained herein shall be construed to place any limitation or restriction on the transfer of the Company’s common stock in addition to any restrictions set forth in any stockholder agreement applicable to the holders of such shares. This Agreement shall inure to the benefit of and be binding upon the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Headen Employment Agreement</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Company and the Executive, and their respective successors, executors, administrators, representatives, heirs and permitted assigns.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13.2 </w:t>
      </w:r>
      <w:r>
        <w:rPr>
          <w:rFonts w:ascii="Times New Roman" w:hAnsi="Times New Roman"/>
          <w:color w:val="000000"/>
          <w:sz w:val="24"/>
          <w:u w:val="single"/>
        </w:rPr>
        <w:t>Severability</w:t>
      </w:r>
      <w:r>
        <w:rPr>
          <w:rFonts w:ascii="Times New Roman" w:hAnsi="Times New Roman"/>
          <w:color w:val="000000"/>
          <w:sz w:val="24"/>
        </w:rPr>
        <w:t>. If any portion or provision of this Agreement shall to any extent be declared illegal or unenforceable by a court of competent jurisdiction, then the application of such provision in such circumstances shall be deemed modified to permit its enforcement to the maximum extent permitted by law, and both the application of such portion or provision in circumstances other than those as to which it is so declared illegal or unenforceable and the remainder of this Agreement shall not be affected thereby, and each portion and provision of this Agreement shall be valid and enforceable to the fullest extent permitted by law.</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13.3 </w:t>
      </w:r>
      <w:r>
        <w:rPr>
          <w:rFonts w:ascii="Times New Roman" w:hAnsi="Times New Roman"/>
          <w:color w:val="000000"/>
          <w:sz w:val="24"/>
          <w:u w:val="single"/>
        </w:rPr>
        <w:t>Waiver; Amendment</w:t>
      </w:r>
      <w:r>
        <w:rPr>
          <w:rFonts w:ascii="Times New Roman" w:hAnsi="Times New Roman"/>
          <w:color w:val="000000"/>
          <w:sz w:val="24"/>
        </w:rPr>
        <w:t>. No waiver of any provision hereof shall be effective unless made in writing and 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 This Agreement may be amended or modified only by a written instrument signed by the Executive and any expressly authorized representative of the Company.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13.4 </w:t>
      </w:r>
      <w:r>
        <w:rPr>
          <w:rFonts w:ascii="Times New Roman" w:hAnsi="Times New Roman"/>
          <w:color w:val="000000"/>
          <w:sz w:val="24"/>
          <w:u w:val="single"/>
        </w:rPr>
        <w:t>Notices</w:t>
      </w:r>
      <w:r>
        <w:rPr>
          <w:rFonts w:ascii="Times New Roman" w:hAnsi="Times New Roman"/>
          <w:color w:val="000000"/>
          <w:sz w:val="24"/>
        </w:rPr>
        <w:t>. Any and all notices, requests, demands and other communications provided for by this Agreement shall be in writing and shall be effective when delivered in person or deposited in the United States mail, postage prepaid, registered or certified, and addressed (i) in the case of the Executive, to: Cynthia Headen, at his/her most recent address on file with the Company, and (ii) in the case of the Company, to the attention of CEO, at 30 Frank Lloyd Wright Drive, Ann Arbor, Michigan 48106, or to such other address as either party may specify by notice to the other actually received.</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13.5 </w:t>
      </w:r>
      <w:r>
        <w:rPr>
          <w:rFonts w:ascii="Times New Roman" w:hAnsi="Times New Roman"/>
          <w:color w:val="000000"/>
          <w:sz w:val="24"/>
          <w:u w:val="single"/>
        </w:rPr>
        <w:t>Entire Agreement</w:t>
      </w:r>
      <w:r>
        <w:rPr>
          <w:rFonts w:ascii="Times New Roman" w:hAnsi="Times New Roman"/>
          <w:color w:val="000000"/>
          <w:sz w:val="24"/>
        </w:rPr>
        <w:t>. This Agreement constitutes the entire agreement between the parties and supersedes any and all prior communications, agreements and understandings, written or oral, between the Executive and the Company, or any of its predecessors, with respect to the terms and conditions of the Executive’s employment.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13.6 </w:t>
      </w:r>
      <w:r>
        <w:rPr>
          <w:rFonts w:ascii="Times New Roman" w:hAnsi="Times New Roman"/>
          <w:color w:val="000000"/>
          <w:sz w:val="24"/>
          <w:u w:val="single"/>
        </w:rPr>
        <w:t>Counterparts</w:t>
      </w:r>
      <w:r>
        <w:rPr>
          <w:rFonts w:ascii="Times New Roman" w:hAnsi="Times New Roman"/>
          <w:color w:val="000000"/>
          <w:sz w:val="24"/>
        </w:rPr>
        <w:t>. This Agreement may be executed in any number of counterparts, each of which shall be an original and all of which together shall constitute one and the same instrument.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13.7 </w:t>
      </w:r>
      <w:r>
        <w:rPr>
          <w:rFonts w:ascii="Times New Roman" w:hAnsi="Times New Roman"/>
          <w:color w:val="000000"/>
          <w:sz w:val="24"/>
          <w:u w:val="single"/>
        </w:rPr>
        <w:t>Governing Law</w:t>
      </w:r>
      <w:r>
        <w:rPr>
          <w:rFonts w:ascii="Times New Roman" w:hAnsi="Times New Roman"/>
          <w:color w:val="000000"/>
          <w:sz w:val="24"/>
        </w:rPr>
        <w:t>. This Agreement shall be governed by and construed in accordance with the domestic substantive laws of the State of Michigan without giving effect to any choice or conflict of laws provision or rule that would cause the application of the domestic substantive laws of any other jurisdiction.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Headen Employment Agreement</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13.8 </w:t>
      </w:r>
      <w:r>
        <w:rPr>
          <w:rFonts w:ascii="Times New Roman" w:hAnsi="Times New Roman"/>
          <w:color w:val="000000"/>
          <w:sz w:val="24"/>
          <w:u w:val="single"/>
        </w:rPr>
        <w:t>Consent to Jurisdiction</w:t>
      </w:r>
      <w:r>
        <w:rPr>
          <w:rFonts w:ascii="Times New Roman" w:hAnsi="Times New Roman"/>
          <w:color w:val="000000"/>
          <w:sz w:val="24"/>
        </w:rPr>
        <w:t>. Each of the Company and the Executive evidenced by the execution hereof, (i) hereby irrevocably submits to the jurisdiction of the state courts of the State of Michigan for the purpose of any claim or action arising out of or based upon this Agreement or relating to the subject matter hereof and (ii) hereby waives, to the extent not prohibited by applicable law, and agrees not to assert by way of motion, as a defense or otherwise, in any such claim or action, any claim that it or he/she is not subject personally to the jurisdiction of the above-named courts, that its or his/her property is exempt or immune from attachment or execution, that any such proceeding brought in the above-named courts is improper, or that this Agreement or the subject matter hereof may not be enforced in or by such court. Each of the Company and the Executive hereby consents to service of process in any such proceeding in any manner permitted by Michigan law, and agrees that service of process by registered or certified mail, return receipt requested, at its address specified pursuant to Section 13.4 hereof is reasonably calculated to give actual notice.</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immediately follows.]</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Headen Employment Agreement</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WITNESS WHEREOF, this Agreement has been executed by the Company, by its duly authorized representative, and by the Executive, as of the date first above written.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THE COMPANY: DOMINO’S PIZZA LLC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20"/>
          <w:u w:val="single"/>
        </w:rPr>
        <w:t xml:space="preserve"> </w:t>
      </w:r>
      <w:r>
        <w:rPr>
          <w:rFonts w:ascii="Times New Roman" w:hAnsi="Times New Roman"/>
          <w:color w:val="000000"/>
          <w:sz w:val="24"/>
          <w:u w:val="single"/>
        </w:rPr>
        <w:t xml:space="preserve">August 3, 2020 </w:t>
      </w:r>
      <w:r>
        <w:rPr>
          <w:rFonts w:ascii="Times New Roman" w:hAnsi="Times New Roman"/>
          <w:color w:val="000000"/>
          <w:sz w:val="24"/>
        </w:rPr>
        <w:t>By:__/s/ Richard Allison_____________________</w:t>
      </w:r>
    </w:p>
    <w:p>
      <w:pPr>
        <w:pStyle w:val="TextBody"/>
        <w:bidi w:val="0"/>
        <w:jc w:val="left"/>
        <w:rPr>
          <w:rFonts w:ascii="Times New Roman" w:hAnsi="Times New Roman"/>
          <w:color w:val="000000"/>
          <w:sz w:val="24"/>
        </w:rPr>
      </w:pPr>
      <w:r>
        <w:rPr>
          <w:rFonts w:ascii="Times New Roman" w:hAnsi="Times New Roman"/>
          <w:color w:val="000000"/>
          <w:sz w:val="24"/>
        </w:rPr>
        <w:t>Name: Richard Allison</w:t>
      </w:r>
    </w:p>
    <w:p>
      <w:pPr>
        <w:pStyle w:val="TextBody"/>
        <w:bidi w:val="0"/>
        <w:jc w:val="left"/>
        <w:rPr>
          <w:rFonts w:ascii="Times New Roman" w:hAnsi="Times New Roman"/>
          <w:color w:val="000000"/>
          <w:sz w:val="24"/>
        </w:rPr>
      </w:pPr>
      <w:r>
        <w:rPr>
          <w:rFonts w:ascii="Times New Roman" w:hAnsi="Times New Roman"/>
          <w:color w:val="000000"/>
          <w:sz w:val="24"/>
        </w:rPr>
        <w:t>Title: Chief Executive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THE EXECUTIVE</w:t>
      </w:r>
      <w:r>
        <w:rPr>
          <w:rFonts w:ascii="Times New Roman" w:hAnsi="Times New Roman"/>
          <w:color w:val="000000"/>
          <w:sz w:val="24"/>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20"/>
          <w:u w:val="single"/>
        </w:rPr>
        <w:t xml:space="preserve"> </w:t>
      </w:r>
      <w:r>
        <w:rPr>
          <w:rFonts w:ascii="Times New Roman" w:hAnsi="Times New Roman"/>
          <w:color w:val="000000"/>
          <w:sz w:val="24"/>
          <w:u w:val="single"/>
        </w:rPr>
        <w:t xml:space="preserve">August 3, 2020 </w:t>
      </w:r>
      <w:r>
        <w:rPr>
          <w:rFonts w:ascii="Times New Roman" w:hAnsi="Times New Roman"/>
          <w:color w:val="000000"/>
          <w:sz w:val="24"/>
        </w:rPr>
        <w:t>__/s/ Cynthia Headen_______________________</w:t>
      </w:r>
    </w:p>
    <w:p>
      <w:pPr>
        <w:pStyle w:val="TextBody"/>
        <w:bidi w:val="0"/>
        <w:jc w:val="left"/>
        <w:rPr>
          <w:rFonts w:ascii="Times New Roman" w:hAnsi="Times New Roman"/>
          <w:color w:val="000000"/>
          <w:sz w:val="24"/>
        </w:rPr>
      </w:pPr>
      <w:r>
        <w:rPr>
          <w:rFonts w:ascii="Times New Roman" w:hAnsi="Times New Roman"/>
          <w:color w:val="000000"/>
          <w:sz w:val="24"/>
        </w:rPr>
        <w:t>Name: Cynthia Headen</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Headen Employment Agreement</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(None, unless additional information is set forth below.)</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32" w:name="dpz-ex10_69.htm"/>
      <w:bookmarkStart w:id="33" w:name="ksdpzex10_69"/>
      <w:bookmarkEnd w:id="32"/>
      <w:bookmarkEnd w:id="33"/>
      <w:r>
        <w:rPr>
          <w:rFonts w:ascii="Times New Roman" w:hAnsi="Times New Roman"/>
          <w:b/>
          <w:color w:val="000000"/>
          <w:sz w:val="24"/>
        </w:rPr>
        <w:t>Exhibit 10.69</w:t>
      </w:r>
      <w:r>
        <w:br w:type="page"/>
      </w:r>
    </w:p>
    <w:p>
      <w:pPr>
        <w:pStyle w:val="TextBody"/>
        <w:bidi w:val="0"/>
        <w:jc w:val="center"/>
        <w:rPr>
          <w:rFonts w:ascii="Arial" w:hAnsi="Arial"/>
          <w:b/>
          <w:color w:val="000000"/>
          <w:sz w:val="20"/>
        </w:rPr>
      </w:pPr>
      <w:r>
        <w:rPr>
          <w:rFonts w:ascii="Arial" w:hAnsi="Arial"/>
          <w:b/>
          <w:color w:val="000000"/>
          <w:sz w:val="20"/>
        </w:rPr>
        <w:t>2025 Director Compensation Summary</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The following table sets forth the current compensation received by directors of Domino’s Pizza, Inc. (excluding the Company’s Chief Executive Officer) for service on the Board of Directors, Audit Committee, Compensation and Human Capital Committee and Nominating &amp; Corporate Governance Committee:</w:t>
      </w:r>
    </w:p>
    <w:p>
      <w:pPr>
        <w:pStyle w:val="TextBody"/>
        <w:bidi w:val="0"/>
        <w:jc w:val="left"/>
        <w:rPr/>
      </w:pPr>
      <w:r>
        <w:rPr/>
        <w:t> </w:t>
      </w:r>
    </w:p>
    <w:tbl>
      <w:tblPr>
        <w:tblW w:w="5722" w:type="dxa"/>
        <w:jc w:val="left"/>
        <w:tblInd w:w="0" w:type="dxa"/>
        <w:tblLayout w:type="fixed"/>
        <w:tblCellMar>
          <w:top w:w="28" w:type="dxa"/>
          <w:left w:w="28" w:type="dxa"/>
          <w:bottom w:w="28" w:type="dxa"/>
          <w:right w:w="28" w:type="dxa"/>
        </w:tblCellMar>
      </w:tblPr>
      <w:tblGrid>
        <w:gridCol w:w="4306"/>
        <w:gridCol w:w="109"/>
        <w:gridCol w:w="211"/>
        <w:gridCol w:w="691"/>
        <w:gridCol w:w="405"/>
      </w:tblGrid>
      <w:tr>
        <w:trPr/>
        <w:tc>
          <w:tcPr>
            <w:tcW w:w="4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Annual Retainer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w:t>
            </w:r>
          </w:p>
        </w:tc>
        <w:tc>
          <w:tcPr>
            <w:tcW w:w="40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Board of Directors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90,000</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Lead Independent 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25,000</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Audit Committee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rFonts w:ascii="Arial" w:hAnsi="Arial"/>
                <w:color w:val="000000"/>
                <w:sz w:val="20"/>
              </w:rPr>
            </w:pPr>
            <w:r>
              <w:rPr>
                <w:rFonts w:ascii="Arial" w:hAnsi="Arial"/>
                <w:color w:val="000000"/>
                <w:sz w:val="20"/>
              </w:rPr>
              <w:t>Chairperson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35,000</w:t>
            </w:r>
          </w:p>
        </w:tc>
        <w:tc>
          <w:tcPr>
            <w:tcW w:w="40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rFonts w:ascii="Arial" w:hAnsi="Arial"/>
                <w:color w:val="000000"/>
                <w:sz w:val="20"/>
              </w:rPr>
            </w:pPr>
            <w:r>
              <w:rPr>
                <w:rFonts w:ascii="Arial" w:hAnsi="Arial"/>
                <w:color w:val="000000"/>
                <w:sz w:val="20"/>
              </w:rPr>
              <w:t>Member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15,000</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Compensation and Human Capital Committee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rFonts w:ascii="Arial" w:hAnsi="Arial"/>
                <w:color w:val="000000"/>
                <w:sz w:val="20"/>
              </w:rPr>
            </w:pPr>
            <w:r>
              <w:rPr>
                <w:rFonts w:ascii="Arial" w:hAnsi="Arial"/>
                <w:color w:val="000000"/>
                <w:sz w:val="20"/>
              </w:rPr>
              <w:t>Chairperson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25,000</w:t>
            </w:r>
          </w:p>
        </w:tc>
        <w:tc>
          <w:tcPr>
            <w:tcW w:w="40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rFonts w:ascii="Arial" w:hAnsi="Arial"/>
                <w:color w:val="000000"/>
                <w:sz w:val="20"/>
              </w:rPr>
            </w:pPr>
            <w:r>
              <w:rPr>
                <w:rFonts w:ascii="Arial" w:hAnsi="Arial"/>
                <w:color w:val="000000"/>
                <w:sz w:val="20"/>
              </w:rPr>
              <w:t>Member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Nominating &amp; Corporate Governance Committee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rFonts w:ascii="Arial" w:hAnsi="Arial"/>
                <w:color w:val="000000"/>
                <w:sz w:val="20"/>
              </w:rPr>
            </w:pPr>
            <w:r>
              <w:rPr>
                <w:rFonts w:ascii="Arial" w:hAnsi="Arial"/>
                <w:color w:val="000000"/>
                <w:sz w:val="20"/>
              </w:rPr>
              <w:t>Chairperson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20,000</w:t>
            </w:r>
          </w:p>
        </w:tc>
        <w:tc>
          <w:tcPr>
            <w:tcW w:w="40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rFonts w:ascii="Arial" w:hAnsi="Arial"/>
                <w:color w:val="000000"/>
                <w:sz w:val="20"/>
              </w:rPr>
            </w:pPr>
            <w:r>
              <w:rPr>
                <w:rFonts w:ascii="Arial" w:hAnsi="Arial"/>
                <w:color w:val="000000"/>
                <w:sz w:val="20"/>
              </w:rPr>
              <w:t>Member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t> </w:t>
      </w:r>
    </w:p>
    <w:tbl>
      <w:tblPr>
        <w:tblW w:w="5681" w:type="dxa"/>
        <w:jc w:val="left"/>
        <w:tblInd w:w="0" w:type="dxa"/>
        <w:tblLayout w:type="fixed"/>
        <w:tblCellMar>
          <w:top w:w="28" w:type="dxa"/>
          <w:left w:w="28" w:type="dxa"/>
          <w:bottom w:w="28" w:type="dxa"/>
          <w:right w:w="28" w:type="dxa"/>
        </w:tblCellMar>
      </w:tblPr>
      <w:tblGrid>
        <w:gridCol w:w="4411"/>
        <w:gridCol w:w="109"/>
        <w:gridCol w:w="211"/>
        <w:gridCol w:w="796"/>
        <w:gridCol w:w="154"/>
      </w:tblGrid>
      <w:tr>
        <w:trPr/>
        <w:tc>
          <w:tcPr>
            <w:tcW w:w="4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Annual Equity Award</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Value</w:t>
            </w:r>
          </w:p>
        </w:tc>
        <w:tc>
          <w:tcPr>
            <w:tcW w:w="15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Target grant date fair value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Award vests on first anniversary of the grant date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2"/>
        </w:rPr>
      </w:pPr>
      <w:bookmarkStart w:id="34" w:name="dpz-ex19_1.htm"/>
      <w:bookmarkStart w:id="35" w:name="ksdpzex19_1"/>
      <w:bookmarkEnd w:id="34"/>
      <w:bookmarkEnd w:id="35"/>
      <w:r>
        <w:rPr>
          <w:rFonts w:ascii="Times New Roman" w:hAnsi="Times New Roman"/>
          <w:b/>
          <w:color w:val="000000"/>
          <w:sz w:val="22"/>
        </w:rPr>
        <w:t xml:space="preserve">Exhibit 19.1 </w:t>
      </w:r>
      <w:r>
        <w:br w:type="page"/>
      </w:r>
    </w:p>
    <w:p>
      <w:pPr>
        <w:pStyle w:val="Heading1"/>
        <w:bidi w:val="0"/>
        <w:spacing w:before="59" w:after="283"/>
        <w:jc w:val="center"/>
        <w:rPr>
          <w:rFonts w:ascii="Times New Roman" w:hAnsi="Times New Roman"/>
          <w:smallCaps/>
          <w:color w:val="000000"/>
          <w:sz w:val="32"/>
        </w:rPr>
      </w:pPr>
      <w:bookmarkStart w:id="36" w:name="insider_trading_policy__may_16__2023_"/>
      <w:bookmarkEnd w:id="36"/>
      <w:r>
        <w:rPr>
          <w:rFonts w:ascii="Times New Roman" w:hAnsi="Times New Roman"/>
          <w:smallCaps/>
          <w:color w:val="000000"/>
          <w:sz w:val="32"/>
        </w:rPr>
        <w:t>Domino’s Pizza, Inc.</w:t>
      </w:r>
    </w:p>
    <w:p>
      <w:pPr>
        <w:pStyle w:val="TextBody"/>
        <w:bidi w:val="0"/>
        <w:spacing w:before="10" w:after="283"/>
        <w:jc w:val="left"/>
        <w:rPr/>
      </w:pPr>
      <w:r>
        <w:rPr/>
        <w:t> </w:t>
      </w:r>
    </w:p>
    <w:p>
      <w:pPr>
        <w:pStyle w:val="Heading2"/>
        <w:bidi w:val="0"/>
        <w:spacing w:before="145" w:after="283"/>
        <w:jc w:val="center"/>
        <w:rPr>
          <w:rFonts w:ascii="Times New Roman" w:hAnsi="Times New Roman"/>
          <w:color w:val="000000"/>
          <w:sz w:val="24"/>
        </w:rPr>
      </w:pPr>
      <w:r>
        <w:rPr>
          <w:rFonts w:ascii="Times New Roman" w:hAnsi="Times New Roman"/>
          <w:color w:val="000000"/>
          <w:sz w:val="24"/>
        </w:rPr>
        <w:t>INSIDER TRADING POLICY</w:t>
      </w:r>
    </w:p>
    <w:p>
      <w:pPr>
        <w:pStyle w:val="TextBody"/>
        <w:bidi w:val="0"/>
        <w:spacing w:before="276" w:after="283"/>
        <w:jc w:val="center"/>
        <w:rPr>
          <w:rFonts w:ascii="Times New Roman" w:hAnsi="Times New Roman"/>
          <w:b/>
          <w:color w:val="000000"/>
          <w:sz w:val="24"/>
        </w:rPr>
      </w:pPr>
      <w:r>
        <w:rPr>
          <w:rFonts w:ascii="Times New Roman" w:hAnsi="Times New Roman"/>
          <w:b/>
          <w:color w:val="000000"/>
          <w:sz w:val="24"/>
        </w:rPr>
        <w:t>Amended and Restated as of May 16, 2023</w:t>
      </w:r>
    </w:p>
    <w:p>
      <w:pPr>
        <w:pStyle w:val="TextBody"/>
        <w:bidi w:val="0"/>
        <w:spacing w:before="21"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policy applies to all Team Members, Officers and Directors and certain Consultants, as further described herein. This policy is designed to prevent insider trading or allegations of insider trading, and to protect the Company’s reputation for integrity and ethical conduct. It is your obligation to understand and comply with this policy. Should you have any questions regarding this policy, please contact [***].</w:t>
      </w:r>
    </w:p>
    <w:p>
      <w:pPr>
        <w:pStyle w:val="Heading2"/>
        <w:bidi w:val="0"/>
        <w:spacing w:before="248" w:after="283"/>
        <w:jc w:val="left"/>
        <w:rPr>
          <w:rFonts w:ascii="Times New Roman" w:hAnsi="Times New Roman"/>
          <w:color w:val="000000"/>
          <w:sz w:val="24"/>
        </w:rPr>
      </w:pPr>
      <w:r>
        <w:rPr>
          <w:rFonts w:ascii="Times New Roman" w:hAnsi="Times New Roman"/>
          <w:color w:val="000000"/>
          <w:sz w:val="24"/>
        </w:rPr>
        <w:t>BACKGROUND</w:t>
      </w:r>
    </w:p>
    <w:p>
      <w:pPr>
        <w:pStyle w:val="TextBody"/>
        <w:bidi w:val="0"/>
        <w:spacing w:before="160" w:after="283"/>
        <w:jc w:val="left"/>
        <w:rPr>
          <w:rFonts w:ascii="Times New Roman" w:hAnsi="Times New Roman"/>
          <w:color w:val="000000"/>
          <w:sz w:val="24"/>
        </w:rPr>
      </w:pPr>
      <w:r>
        <w:rPr>
          <w:rFonts w:ascii="Times New Roman" w:hAnsi="Times New Roman"/>
          <w:color w:val="000000"/>
          <w:sz w:val="24"/>
        </w:rPr>
        <w:t>Domino’s Pizza, Inc.’s Board of Directors has adopted this Insider Trading Policy for our directors, officers, team members and consultants with respect to the trading of the Company’s securities, as well as the securities of publicly-traded companies with whom we have a business relationship.</w:t>
      </w:r>
    </w:p>
    <w:p>
      <w:pPr>
        <w:pStyle w:val="TextBody"/>
        <w:bidi w:val="0"/>
        <w:spacing w:before="160" w:after="283"/>
        <w:jc w:val="left"/>
        <w:rPr>
          <w:rFonts w:ascii="Times New Roman" w:hAnsi="Times New Roman"/>
          <w:color w:val="000000"/>
          <w:sz w:val="24"/>
        </w:rPr>
      </w:pPr>
      <w:r>
        <w:rPr>
          <w:rFonts w:ascii="Times New Roman" w:hAnsi="Times New Roman"/>
          <w:color w:val="000000"/>
          <w:sz w:val="24"/>
        </w:rPr>
        <w:t>Federal and state securities laws prohibit the purchase or sale of a company’s securities by persons who are aware of material information about that company that is not generally known or available to the public. These laws also prohibit persons who are aware of such material nonpublic information from disclosing this information to others who may trade. Companies and their controlling persons may also be subject to liability if they fail to take reasonable steps to prevent insider trading by company personnel.</w:t>
      </w:r>
    </w:p>
    <w:p>
      <w:pPr>
        <w:pStyle w:val="TextBody"/>
        <w:bidi w:val="0"/>
        <w:spacing w:before="161" w:after="283"/>
        <w:jc w:val="left"/>
        <w:rPr>
          <w:rFonts w:ascii="Times New Roman" w:hAnsi="Times New Roman"/>
          <w:color w:val="000000"/>
          <w:sz w:val="24"/>
        </w:rPr>
      </w:pPr>
      <w:r>
        <w:rPr>
          <w:rFonts w:ascii="Times New Roman" w:hAnsi="Times New Roman"/>
          <w:color w:val="000000"/>
          <w:sz w:val="24"/>
        </w:rPr>
        <w:t>It is important that you understand the breadth of activities that constitute illegal insider trading and the consequences, which can be severe. The U.S. Securities and Exchange Commission (the “SEC”) and the Financial Industry Regulatory Authority investigate and are very effective at detecting insider trading. The SEC, together with the U.S. Attorneys, pursue insider trading violations vigorously. Cases have been successfully prosecuted against trading by team members through foreign accounts, trading by family members and friends, and trading involving only a small number of shares.</w:t>
      </w:r>
    </w:p>
    <w:p>
      <w:pPr>
        <w:pStyle w:val="Heading2"/>
        <w:bidi w:val="0"/>
        <w:spacing w:before="159" w:after="283"/>
        <w:jc w:val="left"/>
        <w:rPr>
          <w:rFonts w:ascii="Times New Roman" w:hAnsi="Times New Roman"/>
          <w:color w:val="000000"/>
          <w:sz w:val="24"/>
        </w:rPr>
      </w:pPr>
      <w:r>
        <w:rPr>
          <w:rFonts w:ascii="Times New Roman" w:hAnsi="Times New Roman"/>
          <w:color w:val="000000"/>
          <w:sz w:val="24"/>
        </w:rPr>
        <w:t>PENALTIES FOR NONCOMPLIANCE</w:t>
      </w:r>
    </w:p>
    <w:p>
      <w:pPr>
        <w:pStyle w:val="TextBody"/>
        <w:bidi w:val="0"/>
        <w:spacing w:before="160" w:after="283"/>
        <w:jc w:val="left"/>
        <w:rPr>
          <w:rFonts w:ascii="Times New Roman" w:hAnsi="Times New Roman"/>
          <w:sz w:val="20"/>
        </w:rPr>
      </w:pPr>
      <w:r>
        <w:rPr>
          <w:rFonts w:ascii="Times New Roman" w:hAnsi="Times New Roman"/>
          <w:i/>
          <w:color w:val="000000"/>
          <w:sz w:val="24"/>
        </w:rPr>
        <w:t xml:space="preserve">Civil and Criminal Penalties. </w:t>
      </w:r>
      <w:r>
        <w:rPr>
          <w:rFonts w:ascii="Times New Roman" w:hAnsi="Times New Roman"/>
          <w:color w:val="000000"/>
          <w:sz w:val="24"/>
        </w:rPr>
        <w:t>Potential penalties for insider trading violations include</w:t>
      </w:r>
    </w:p>
    <w:p>
      <w:pPr>
        <w:pStyle w:val="TextBody"/>
        <w:bidi w:val="0"/>
        <w:jc w:val="left"/>
        <w:rPr>
          <w:rFonts w:ascii="Times New Roman" w:hAnsi="Times New Roman"/>
          <w:color w:val="000000"/>
          <w:sz w:val="24"/>
        </w:rPr>
      </w:pPr>
      <w:r>
        <w:rPr>
          <w:rFonts w:ascii="Times New Roman" w:hAnsi="Times New Roman"/>
          <w:color w:val="000000"/>
          <w:sz w:val="24"/>
        </w:rPr>
        <w:t>(1) imprisonment for up to 20 years, (2) criminal fines of up to $5 million and (3) civil fines of up to three times the profit gained or loss avoided.</w:t>
      </w:r>
    </w:p>
    <w:p>
      <w:pPr>
        <w:pStyle w:val="TextBody"/>
        <w:bidi w:val="0"/>
        <w:spacing w:before="160" w:after="283"/>
        <w:jc w:val="left"/>
        <w:rPr>
          <w:rFonts w:ascii="Times New Roman" w:hAnsi="Times New Roman"/>
          <w:sz w:val="20"/>
        </w:rPr>
      </w:pPr>
      <w:r>
        <w:rPr>
          <w:rFonts w:ascii="Times New Roman" w:hAnsi="Times New Roman"/>
          <w:i/>
          <w:color w:val="000000"/>
          <w:sz w:val="24"/>
        </w:rPr>
        <w:t>Controlling Person Liability</w:t>
      </w:r>
      <w:r>
        <w:rPr>
          <w:rFonts w:ascii="Times New Roman" w:hAnsi="Times New Roman"/>
          <w:color w:val="000000"/>
          <w:sz w:val="24"/>
        </w:rPr>
        <w:t>. If the Company fails to take appropriate steps to prevent illegal insider trading, the Company may have “controlling person” liability for a trading violation, with civil penalties of up to the greater of $1 million and three times the profit gained or loss avoided,</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as well as criminal penalty of up to $25 million. The civil penalties can extend personal liability to the Company’s directors, officers and other supervisory personnel if they fail to take appropriate steps to prevent insider trading.</w:t>
      </w:r>
    </w:p>
    <w:p>
      <w:pPr>
        <w:pStyle w:val="TextBody"/>
        <w:bidi w:val="0"/>
        <w:spacing w:before="160" w:after="283"/>
        <w:jc w:val="left"/>
        <w:rPr>
          <w:rFonts w:ascii="Times New Roman" w:hAnsi="Times New Roman"/>
          <w:sz w:val="20"/>
        </w:rPr>
      </w:pPr>
      <w:r>
        <w:rPr>
          <w:rFonts w:ascii="Times New Roman" w:hAnsi="Times New Roman"/>
          <w:i/>
          <w:color w:val="000000"/>
          <w:sz w:val="24"/>
        </w:rPr>
        <w:t>Company Sanctions</w:t>
      </w:r>
      <w:r>
        <w:rPr>
          <w:rFonts w:ascii="Times New Roman" w:hAnsi="Times New Roman"/>
          <w:color w:val="000000"/>
          <w:sz w:val="24"/>
        </w:rPr>
        <w:t>. Failure to comply with this policy may also subject you to Company- imposed sanctions, including dismissal for cause, whether or not your failure to comply with this policy results in a violation of law.</w:t>
      </w:r>
    </w:p>
    <w:p>
      <w:pPr>
        <w:pStyle w:val="Heading2"/>
        <w:bidi w:val="0"/>
        <w:spacing w:before="161" w:after="283"/>
        <w:jc w:val="left"/>
        <w:rPr>
          <w:rFonts w:ascii="Times New Roman" w:hAnsi="Times New Roman"/>
          <w:color w:val="000000"/>
          <w:sz w:val="24"/>
        </w:rPr>
      </w:pPr>
      <w:r>
        <w:rPr>
          <w:rFonts w:ascii="Times New Roman" w:hAnsi="Times New Roman"/>
          <w:color w:val="000000"/>
          <w:sz w:val="24"/>
        </w:rPr>
        <w:t>SCOPE OF POLICY</w:t>
      </w:r>
    </w:p>
    <w:p>
      <w:pPr>
        <w:pStyle w:val="TextBody"/>
        <w:bidi w:val="0"/>
        <w:spacing w:before="159" w:after="283"/>
        <w:jc w:val="left"/>
        <w:rPr>
          <w:rFonts w:ascii="Times New Roman" w:hAnsi="Times New Roman"/>
          <w:sz w:val="20"/>
        </w:rPr>
      </w:pPr>
      <w:r>
        <w:rPr>
          <w:rFonts w:ascii="Times New Roman" w:hAnsi="Times New Roman"/>
          <w:i/>
          <w:color w:val="000000"/>
          <w:sz w:val="24"/>
        </w:rPr>
        <w:t xml:space="preserve">Persons Covered. </w:t>
      </w:r>
      <w:r>
        <w:rPr>
          <w:rFonts w:ascii="Times New Roman" w:hAnsi="Times New Roman"/>
          <w:color w:val="000000"/>
          <w:sz w:val="24"/>
        </w:rPr>
        <w:t>As a director, officer, team member or consultant of the Company or its subsidiaries, this policy applies to you. The same restrictions that apply to you apply to your family members who reside with you,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You are responsible for the actions of such individuals and for making sure that the purchase or sale of any security covered by this policy by any such person complies with this policy.</w:t>
      </w:r>
    </w:p>
    <w:p>
      <w:pPr>
        <w:pStyle w:val="TextBody"/>
        <w:bidi w:val="0"/>
        <w:spacing w:before="160" w:after="283"/>
        <w:jc w:val="left"/>
        <w:rPr>
          <w:rFonts w:ascii="Times New Roman" w:hAnsi="Times New Roman"/>
          <w:sz w:val="20"/>
        </w:rPr>
      </w:pPr>
      <w:r>
        <w:rPr>
          <w:rFonts w:ascii="Times New Roman" w:hAnsi="Times New Roman"/>
          <w:i/>
          <w:color w:val="000000"/>
          <w:sz w:val="24"/>
        </w:rPr>
        <w:t xml:space="preserve">Companies Covered. </w:t>
      </w:r>
      <w:r>
        <w:rPr>
          <w:rFonts w:ascii="Times New Roman" w:hAnsi="Times New Roman"/>
          <w:color w:val="000000"/>
          <w:sz w:val="24"/>
        </w:rPr>
        <w:t>The prohibition on insider trading in this policy is not limited to trading in the Company’s securities. It includes trading in the securities of other firms, such as customers or suppliers of the Company and those with which the Company may be negotiating major transactions, such as an acquisition, investment, sale or material contract. Information that is not material to the Company may nevertheless be material to one of those other firms.</w:t>
      </w:r>
    </w:p>
    <w:p>
      <w:pPr>
        <w:pStyle w:val="TextBody"/>
        <w:bidi w:val="0"/>
        <w:spacing w:before="160" w:after="283"/>
        <w:jc w:val="left"/>
        <w:rPr>
          <w:rFonts w:ascii="Times New Roman" w:hAnsi="Times New Roman"/>
          <w:sz w:val="20"/>
        </w:rPr>
      </w:pPr>
      <w:r>
        <w:rPr>
          <w:rFonts w:ascii="Times New Roman" w:hAnsi="Times New Roman"/>
          <w:i/>
          <w:color w:val="000000"/>
          <w:sz w:val="24"/>
        </w:rPr>
        <w:t>Transactions Covered</w:t>
      </w:r>
      <w:r>
        <w:rPr>
          <w:rFonts w:ascii="Times New Roman" w:hAnsi="Times New Roman"/>
          <w:color w:val="000000"/>
          <w:sz w:val="24"/>
        </w:rPr>
        <w:t>. Trading includes purchases and sales of stock, derivative securities such as put and call options and convertible debentures or preferred stock, and debt securities (debentures, bonds and notes). Trading also includes certain transactions under Company plans, as follows:</w:t>
      </w:r>
    </w:p>
    <w:p>
      <w:pPr>
        <w:pStyle w:val="TextBody"/>
        <w:bidi w:val="0"/>
        <w:spacing w:before="161" w:after="283"/>
        <w:jc w:val="left"/>
        <w:rPr>
          <w:color w:val="000000"/>
        </w:rPr>
      </w:pPr>
      <w:r>
        <w:rPr>
          <w:color w:val="000000"/>
        </w:rPr>
        <w:t>•</w:t>
      </w:r>
    </w:p>
    <w:p>
      <w:pPr>
        <w:pStyle w:val="TextBody"/>
        <w:bidi w:val="0"/>
        <w:spacing w:before="161" w:after="283"/>
        <w:jc w:val="left"/>
        <w:rPr/>
      </w:pPr>
      <w:r>
        <w:rPr>
          <w:rFonts w:ascii="Times New Roman" w:hAnsi="Times New Roman"/>
          <w:i/>
          <w:color w:val="000000"/>
          <w:sz w:val="24"/>
        </w:rPr>
        <w:t>Sale of Vested Performance Shares and Restricted Stock</w:t>
      </w:r>
      <w:r>
        <w:rPr>
          <w:rFonts w:ascii="Times New Roman" w:hAnsi="Times New Roman"/>
          <w:color w:val="000000"/>
          <w:sz w:val="24"/>
        </w:rPr>
        <w:t>. This policy’s trading restrictions generally apply to the sale of vested performance shares and restricted stock.</w:t>
      </w:r>
    </w:p>
    <w:p>
      <w:pPr>
        <w:pStyle w:val="TextBody"/>
        <w:bidi w:val="0"/>
        <w:spacing w:before="159" w:after="283"/>
        <w:jc w:val="left"/>
        <w:rPr>
          <w:color w:val="000000"/>
        </w:rPr>
      </w:pPr>
      <w:r>
        <w:rPr>
          <w:color w:val="000000"/>
        </w:rPr>
        <w:t>•</w:t>
      </w:r>
    </w:p>
    <w:p>
      <w:pPr>
        <w:pStyle w:val="TextBody"/>
        <w:bidi w:val="0"/>
        <w:spacing w:before="159" w:after="283"/>
        <w:jc w:val="left"/>
        <w:rPr/>
      </w:pPr>
      <w:r>
        <w:rPr>
          <w:rFonts w:ascii="Times New Roman" w:hAnsi="Times New Roman"/>
          <w:i/>
          <w:color w:val="000000"/>
          <w:sz w:val="24"/>
        </w:rPr>
        <w:t xml:space="preserve">Stock Option Exercises. </w:t>
      </w:r>
      <w:r>
        <w:rPr>
          <w:rFonts w:ascii="Times New Roman" w:hAnsi="Times New Roman"/>
          <w:color w:val="000000"/>
          <w:sz w:val="24"/>
        </w:rPr>
        <w:t>This policy’s trading restrictions generally do not apply to the exercise of a stock option. The trading restrictions do apply, however, to any sale of the underlying stock or to a cashless exercise of the option through a broker, as this entails selling a portion of the underlying stock to cover the costs of exercise.</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i/>
          <w:color w:val="000000"/>
          <w:sz w:val="24"/>
        </w:rPr>
        <w:t xml:space="preserve">Team Member Stock Purchase Plan. </w:t>
      </w:r>
      <w:r>
        <w:rPr>
          <w:rFonts w:ascii="Times New Roman" w:hAnsi="Times New Roman"/>
          <w:color w:val="000000"/>
          <w:sz w:val="24"/>
        </w:rPr>
        <w:t>This policy’s trading restrictions do not apply to purchases of Company stock in the team member stock purchase plan resulting from your periodic payroll contributions to the plan under an election you made at the time of enrollment in the plan. The trading restrictions do apply to your sales of Company stock purchased under the plan.</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i/>
          <w:color w:val="000000"/>
          <w:sz w:val="24"/>
        </w:rPr>
        <w:t xml:space="preserve">401(k) Plan. </w:t>
      </w:r>
      <w:r>
        <w:rPr>
          <w:rFonts w:ascii="Times New Roman" w:hAnsi="Times New Roman"/>
          <w:color w:val="000000"/>
          <w:sz w:val="24"/>
        </w:rPr>
        <w:t>This policy’s trading restrictions do not apply to contribution of Company stock fund in the 401(k) plan from your periodic contribution of money to the plan pursuant to your payroll deduction election. The trading restrictions do apply, however, to elections you may make under the 401(k) plan to (a) make an intra-plan transfer of an existing account balance into or out of Company stock or the</w:t>
      </w:r>
    </w:p>
    <w:p>
      <w:pPr>
        <w:pStyle w:val="TextBody"/>
        <w:bidi w:val="0"/>
        <w:jc w:val="left"/>
        <w:rPr/>
      </w:pPr>
      <w:r>
        <w:rPr/>
        <w:t> </w:t>
      </w:r>
    </w:p>
    <w:p>
      <w:pPr>
        <w:pStyle w:val="TextBody"/>
        <w:bidi w:val="0"/>
        <w:spacing w:before="10" w:after="283"/>
        <w:jc w:val="left"/>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Company stock fund, (b) borrow money against your 401(k) plan account if the loan will result in a liquidation of some or all of your Company stock or Company stock fund balance, and (c) pre-pay a plan loan if the pre-payment will result in allocation of loan proceeds to the Company stock fund.</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i/>
          <w:color w:val="000000"/>
          <w:sz w:val="24"/>
        </w:rPr>
        <w:t xml:space="preserve">Dividend Reinvestment Plan. </w:t>
      </w:r>
      <w:r>
        <w:rPr>
          <w:rFonts w:ascii="Times New Roman" w:hAnsi="Times New Roman"/>
          <w:color w:val="000000"/>
          <w:sz w:val="24"/>
        </w:rPr>
        <w:t>This policy’s trading restrictions do not apply to purchases of Company stock under the Company’s dividend reinvestment plan resulting from your reinvestment of dividends paid on Company securities. The trading restrictions do apply, however, to voluntary purchases of Company stock resulting from additional contributions you choose to make to the plan, and to your election to participate in the plan or increase your level of participation in the plan. This policy also applies to your sale of any Company stock purchased pursuant to the plan</w:t>
      </w:r>
      <w:r>
        <w:rPr>
          <w:rFonts w:ascii="Times New Roman" w:hAnsi="Times New Roman"/>
          <w:b/>
          <w:color w:val="000000"/>
          <w:sz w:val="24"/>
        </w:rPr>
        <w:t>.</w:t>
      </w:r>
    </w:p>
    <w:p>
      <w:pPr>
        <w:pStyle w:val="TextBody"/>
        <w:bidi w:val="0"/>
        <w:spacing w:before="160" w:after="283"/>
        <w:jc w:val="left"/>
        <w:rPr>
          <w:rFonts w:ascii="Times New Roman" w:hAnsi="Times New Roman"/>
          <w:sz w:val="20"/>
        </w:rPr>
      </w:pPr>
      <w:r>
        <w:rPr>
          <w:rFonts w:ascii="Times New Roman" w:hAnsi="Times New Roman"/>
          <w:i/>
          <w:color w:val="000000"/>
          <w:sz w:val="24"/>
        </w:rPr>
        <w:t xml:space="preserve">Transaction Not Covered. </w:t>
      </w:r>
      <w:r>
        <w:rPr>
          <w:rFonts w:ascii="Times New Roman" w:hAnsi="Times New Roman"/>
          <w:color w:val="000000"/>
          <w:sz w:val="24"/>
        </w:rPr>
        <w:t>If you own shares of a mutual fund that invests in the Company’s securities there are no restrictions on trading the shares of the mutual fund at any time.</w:t>
      </w:r>
    </w:p>
    <w:p>
      <w:pPr>
        <w:pStyle w:val="Heading2"/>
        <w:bidi w:val="0"/>
        <w:spacing w:before="160" w:after="283"/>
        <w:jc w:val="left"/>
        <w:rPr>
          <w:rFonts w:ascii="Times New Roman" w:hAnsi="Times New Roman"/>
          <w:color w:val="000000"/>
          <w:sz w:val="24"/>
        </w:rPr>
      </w:pPr>
      <w:r>
        <w:rPr>
          <w:rFonts w:ascii="Times New Roman" w:hAnsi="Times New Roman"/>
          <w:color w:val="000000"/>
          <w:sz w:val="24"/>
        </w:rPr>
        <w:t>STATEMENT OF POLICY</w:t>
      </w:r>
    </w:p>
    <w:p>
      <w:pPr>
        <w:pStyle w:val="TextBody"/>
        <w:bidi w:val="0"/>
        <w:spacing w:before="160" w:after="283"/>
        <w:jc w:val="left"/>
        <w:rPr>
          <w:rFonts w:ascii="Times New Roman" w:hAnsi="Times New Roman"/>
          <w:sz w:val="20"/>
        </w:rPr>
      </w:pPr>
      <w:r>
        <w:rPr>
          <w:rFonts w:ascii="Times New Roman" w:hAnsi="Times New Roman"/>
          <w:i/>
          <w:color w:val="000000"/>
          <w:sz w:val="24"/>
        </w:rPr>
        <w:t xml:space="preserve">No Trading on Insider Information. </w:t>
      </w:r>
      <w:r>
        <w:rPr>
          <w:rFonts w:ascii="Times New Roman" w:hAnsi="Times New Roman"/>
          <w:color w:val="000000"/>
          <w:sz w:val="24"/>
        </w:rPr>
        <w:t>You may not trade in the securities of the Company, directly or through family members or other persons or entities, if you are aware of any material nonpublic information relating to the Company. Similarly, you may not trade in the securities of any other company if you are aware of any material nonpublic information about that company which you obtained in the course of your employment with the Company.</w:t>
      </w:r>
    </w:p>
    <w:p>
      <w:pPr>
        <w:pStyle w:val="TextBody"/>
        <w:bidi w:val="0"/>
        <w:spacing w:before="160" w:after="283"/>
        <w:jc w:val="left"/>
        <w:rPr>
          <w:rFonts w:ascii="Times New Roman" w:hAnsi="Times New Roman"/>
          <w:sz w:val="20"/>
        </w:rPr>
      </w:pPr>
      <w:r>
        <w:rPr>
          <w:rFonts w:ascii="Times New Roman" w:hAnsi="Times New Roman"/>
          <w:i/>
          <w:color w:val="000000"/>
          <w:sz w:val="24"/>
        </w:rPr>
        <w:t xml:space="preserve">No Tipping. </w:t>
      </w:r>
      <w:r>
        <w:rPr>
          <w:rFonts w:ascii="Times New Roman" w:hAnsi="Times New Roman"/>
          <w:color w:val="000000"/>
          <w:sz w:val="24"/>
        </w:rPr>
        <w:t>You may not pass material nonpublic information on to others or recommend to anyone the purchase or sale of any securities when you are aware of such information. This practice, known as “tipping,” is a form of insider trading and also violates the federal securities laws and can result in the same civil and criminal penalties that apply to insider trading, even though you did not trade and did not gain any benefit from another’s trading.</w:t>
      </w:r>
    </w:p>
    <w:p>
      <w:pPr>
        <w:pStyle w:val="TextBody"/>
        <w:bidi w:val="0"/>
        <w:spacing w:before="159" w:after="283"/>
        <w:jc w:val="left"/>
        <w:rPr>
          <w:rFonts w:ascii="Times New Roman" w:hAnsi="Times New Roman"/>
          <w:sz w:val="20"/>
        </w:rPr>
      </w:pPr>
      <w:r>
        <w:rPr>
          <w:rFonts w:ascii="Times New Roman" w:hAnsi="Times New Roman"/>
          <w:i/>
          <w:color w:val="000000"/>
          <w:sz w:val="24"/>
        </w:rPr>
        <w:t xml:space="preserve">No Exception for Hardship. </w:t>
      </w:r>
      <w:r>
        <w:rPr>
          <w:rFonts w:ascii="Times New Roman" w:hAnsi="Times New Roman"/>
          <w:color w:val="000000"/>
          <w:sz w:val="24"/>
        </w:rPr>
        <w:t>The existence of a personal financial emergency does not excuse you from compliance with this policy.</w:t>
      </w:r>
    </w:p>
    <w:p>
      <w:pPr>
        <w:pStyle w:val="TextBody"/>
        <w:bidi w:val="0"/>
        <w:spacing w:before="161" w:after="283"/>
        <w:jc w:val="left"/>
        <w:rPr>
          <w:rFonts w:ascii="Times New Roman" w:hAnsi="Times New Roman"/>
          <w:sz w:val="20"/>
        </w:rPr>
      </w:pPr>
      <w:r>
        <w:rPr>
          <w:rFonts w:ascii="Times New Roman" w:hAnsi="Times New Roman"/>
          <w:i/>
          <w:color w:val="000000"/>
          <w:sz w:val="24"/>
        </w:rPr>
        <w:t>Blackout and Pre-Clearance Procedures</w:t>
      </w:r>
      <w:r>
        <w:rPr>
          <w:rFonts w:ascii="Times New Roman" w:hAnsi="Times New Roman"/>
          <w:color w:val="000000"/>
          <w:sz w:val="24"/>
        </w:rPr>
        <w:t>. To help prevent inadvertent violations of the federal securities laws and to avoid even the appearance of trading on the basis of inside information, the Company’s board of directors has adopted an Addendum to Insider Trading Policy (the “Addendum”) that applies to directors, executive officers subject to Section 16 of the Securities Exchange Act of 1934 (“executive officers”), and certain designated team members and consultants of the Company and its subsidiaries who have access to material nonpublic information about the Company. The Company reviews the individuals subject to the Addendum on a regular basis and will notify you if you are subject to the Addendum.</w:t>
      </w:r>
    </w:p>
    <w:p>
      <w:pPr>
        <w:pStyle w:val="TextBody"/>
        <w:bidi w:val="0"/>
        <w:spacing w:before="160" w:after="283"/>
        <w:jc w:val="left"/>
        <w:rPr>
          <w:rFonts w:ascii="Times New Roman" w:hAnsi="Times New Roman"/>
          <w:color w:val="000000"/>
          <w:sz w:val="24"/>
        </w:rPr>
      </w:pPr>
      <w:r>
        <w:rPr>
          <w:rFonts w:ascii="Times New Roman" w:hAnsi="Times New Roman"/>
          <w:color w:val="000000"/>
          <w:sz w:val="24"/>
        </w:rPr>
        <w:t>The Addendum generally prohibits persons covered by it from trading in the Company’s securities during quarterly blackout periods (beginning seven (7) days before the end of a quarter and ending after the second business day following the release of the Company’s earnings for that quarter) and during certain event-specific blackouts. Directors, executive officers and other covered persons also must pre-clear all transactions in the Company’s securities with the Company’s General Counsel or the Chief Executive Officer.</w:t>
      </w:r>
    </w:p>
    <w:p>
      <w:pPr>
        <w:pStyle w:val="TextBody"/>
        <w:bidi w:val="0"/>
        <w:jc w:val="left"/>
        <w:rPr/>
      </w:pPr>
      <w:r>
        <w:rPr/>
        <w:t> </w:t>
      </w:r>
    </w:p>
    <w:p>
      <w:pPr>
        <w:pStyle w:val="TextBody"/>
        <w:bidi w:val="0"/>
        <w:spacing w:before="10" w:after="283"/>
        <w:jc w:val="left"/>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60" w:after="283"/>
        <w:jc w:val="left"/>
        <w:rPr>
          <w:rFonts w:ascii="Times New Roman" w:hAnsi="Times New Roman"/>
          <w:color w:val="000000"/>
          <w:sz w:val="24"/>
        </w:rPr>
      </w:pPr>
      <w:r>
        <w:rPr>
          <w:rFonts w:ascii="Times New Roman" w:hAnsi="Times New Roman"/>
          <w:color w:val="000000"/>
          <w:sz w:val="24"/>
        </w:rPr>
        <w:t>DEFINITION OF MATERIAL NONPUBLIC INFORMATION</w:t>
      </w:r>
    </w:p>
    <w:p>
      <w:pPr>
        <w:pStyle w:val="TextBody"/>
        <w:bidi w:val="0"/>
        <w:spacing w:before="160" w:after="283"/>
        <w:jc w:val="left"/>
        <w:rPr>
          <w:rFonts w:ascii="Times New Roman" w:hAnsi="Times New Roman"/>
          <w:color w:val="000000"/>
          <w:sz w:val="24"/>
        </w:rPr>
      </w:pPr>
      <w:r>
        <w:rPr>
          <w:rFonts w:ascii="Times New Roman" w:hAnsi="Times New Roman"/>
          <w:color w:val="000000"/>
          <w:sz w:val="24"/>
        </w:rPr>
        <w:t>Note that inside information has two important elements--materiality and public availability.</w:t>
      </w:r>
    </w:p>
    <w:p>
      <w:pPr>
        <w:pStyle w:val="TextBody"/>
        <w:bidi w:val="0"/>
        <w:spacing w:before="160" w:after="283"/>
        <w:jc w:val="left"/>
        <w:rPr>
          <w:rFonts w:ascii="Times New Roman" w:hAnsi="Times New Roman"/>
          <w:sz w:val="20"/>
        </w:rPr>
      </w:pPr>
      <w:r>
        <w:rPr>
          <w:rFonts w:ascii="Times New Roman" w:hAnsi="Times New Roman"/>
          <w:i/>
          <w:color w:val="000000"/>
          <w:sz w:val="24"/>
        </w:rPr>
        <w:t>Material Information</w:t>
      </w:r>
      <w:r>
        <w:rPr>
          <w:rFonts w:ascii="Times New Roman" w:hAnsi="Times New Roman"/>
          <w:color w:val="000000"/>
          <w:sz w:val="24"/>
        </w:rPr>
        <w:t>. Information is material if there is a substantial likelihood that a reasonable investor would consider it important in deciding whether to buy, hold or sell a security. Any information that could reasonably be expected to affect the price of the security is material. Common examples of material information are: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4"/>
        </w:rPr>
      </w:pPr>
      <w:r>
        <w:rPr>
          <w:rFonts w:ascii="Times New Roman" w:hAnsi="Times New Roman"/>
          <w:color w:val="000000"/>
          <w:sz w:val="24"/>
        </w:rPr>
        <w:t>The Company’s quarterly and annual financial results, prior to public announcement.</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4"/>
        </w:rPr>
      </w:pPr>
      <w:r>
        <w:rPr>
          <w:rFonts w:ascii="Times New Roman" w:hAnsi="Times New Roman"/>
          <w:color w:val="000000"/>
          <w:sz w:val="24"/>
        </w:rPr>
        <w:t>Projections of future earnings or losses or other earnings guidance.</w:t>
      </w:r>
    </w:p>
    <w:p>
      <w:pPr>
        <w:pStyle w:val="TextBody"/>
        <w:bidi w:val="0"/>
        <w:spacing w:before="159" w:after="283"/>
        <w:jc w:val="left"/>
        <w:rPr>
          <w:color w:val="000000"/>
        </w:rPr>
      </w:pPr>
      <w:r>
        <w:rPr>
          <w:color w:val="000000"/>
        </w:rPr>
        <w:t>•</w:t>
      </w:r>
    </w:p>
    <w:p>
      <w:pPr>
        <w:pStyle w:val="TextBody"/>
        <w:bidi w:val="0"/>
        <w:spacing w:before="159" w:after="283"/>
        <w:jc w:val="left"/>
        <w:rPr>
          <w:rFonts w:ascii="Times New Roman" w:hAnsi="Times New Roman"/>
          <w:color w:val="000000"/>
          <w:sz w:val="24"/>
        </w:rPr>
      </w:pPr>
      <w:r>
        <w:rPr>
          <w:rFonts w:ascii="Times New Roman" w:hAnsi="Times New Roman"/>
          <w:color w:val="000000"/>
          <w:sz w:val="24"/>
        </w:rPr>
        <w:t>Earnings that are inconsistent with the consensus expectations of the investment community.</w:t>
      </w:r>
    </w:p>
    <w:p>
      <w:pPr>
        <w:pStyle w:val="TextBody"/>
        <w:bidi w:val="0"/>
        <w:spacing w:before="161" w:after="283"/>
        <w:jc w:val="left"/>
        <w:rPr>
          <w:color w:val="000000"/>
        </w:rPr>
      </w:pPr>
      <w:r>
        <w:rPr>
          <w:color w:val="000000"/>
        </w:rPr>
        <w:t>•</w:t>
      </w:r>
    </w:p>
    <w:p>
      <w:pPr>
        <w:pStyle w:val="TextBody"/>
        <w:bidi w:val="0"/>
        <w:spacing w:before="161" w:after="283"/>
        <w:jc w:val="left"/>
        <w:rPr>
          <w:rFonts w:ascii="Times New Roman" w:hAnsi="Times New Roman"/>
          <w:color w:val="000000"/>
          <w:sz w:val="24"/>
        </w:rPr>
      </w:pPr>
      <w:r>
        <w:rPr>
          <w:rFonts w:ascii="Times New Roman" w:hAnsi="Times New Roman"/>
          <w:color w:val="000000"/>
          <w:sz w:val="24"/>
        </w:rPr>
        <w:t>A pending or proposed merger, acquisition or tender offer or an acquisition or disposition of significant assets.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4"/>
        </w:rPr>
      </w:pPr>
      <w:r>
        <w:rPr>
          <w:rFonts w:ascii="Times New Roman" w:hAnsi="Times New Roman"/>
          <w:color w:val="000000"/>
          <w:sz w:val="24"/>
        </w:rPr>
        <w:t>A change in management.</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4"/>
        </w:rPr>
      </w:pPr>
      <w:r>
        <w:rPr>
          <w:rFonts w:ascii="Times New Roman" w:hAnsi="Times New Roman"/>
          <w:color w:val="000000"/>
          <w:sz w:val="24"/>
        </w:rPr>
        <w:t>Major events regarding the Company’s securities, including the declaration of a stock split, the offering of additional securities or a significant change in the amount or the ratings of the Company’s indebtedness.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4"/>
        </w:rPr>
      </w:pPr>
      <w:r>
        <w:rPr>
          <w:rFonts w:ascii="Times New Roman" w:hAnsi="Times New Roman"/>
          <w:color w:val="000000"/>
          <w:sz w:val="24"/>
        </w:rPr>
        <w:t>Severe financial liquidity problems.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4"/>
        </w:rPr>
      </w:pPr>
      <w:r>
        <w:rPr>
          <w:rFonts w:ascii="Times New Roman" w:hAnsi="Times New Roman"/>
          <w:color w:val="000000"/>
          <w:sz w:val="24"/>
        </w:rPr>
        <w:t>Actual or threatened major litigation or regulatory proceeding, or the resolution of such litigation or regulatory proceeding.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4"/>
        </w:rPr>
      </w:pPr>
      <w:r>
        <w:rPr>
          <w:rFonts w:ascii="Times New Roman" w:hAnsi="Times New Roman"/>
          <w:color w:val="000000"/>
          <w:sz w:val="24"/>
        </w:rPr>
        <w:t>Significant cyber or food safety incidents.</w:t>
      </w:r>
    </w:p>
    <w:p>
      <w:pPr>
        <w:pStyle w:val="TextBody"/>
        <w:bidi w:val="0"/>
        <w:spacing w:before="161" w:after="283"/>
        <w:jc w:val="left"/>
        <w:rPr>
          <w:color w:val="000000"/>
        </w:rPr>
      </w:pPr>
      <w:r>
        <w:rPr>
          <w:color w:val="000000"/>
        </w:rPr>
        <w:t>•</w:t>
      </w:r>
    </w:p>
    <w:p>
      <w:pPr>
        <w:pStyle w:val="TextBody"/>
        <w:bidi w:val="0"/>
        <w:spacing w:before="161" w:after="283"/>
        <w:jc w:val="left"/>
        <w:rPr>
          <w:rFonts w:ascii="Times New Roman" w:hAnsi="Times New Roman"/>
          <w:color w:val="000000"/>
          <w:sz w:val="24"/>
        </w:rPr>
      </w:pPr>
      <w:r>
        <w:rPr>
          <w:rFonts w:ascii="Times New Roman" w:hAnsi="Times New Roman"/>
          <w:color w:val="000000"/>
          <w:sz w:val="24"/>
        </w:rPr>
        <w:t>New major contracts, orders, suppliers, customers or finance sources, or the loss thereof.</w:t>
      </w:r>
    </w:p>
    <w:p>
      <w:pPr>
        <w:pStyle w:val="TextBody"/>
        <w:bidi w:val="0"/>
        <w:spacing w:before="159" w:after="283"/>
        <w:jc w:val="left"/>
        <w:rPr>
          <w:rFonts w:ascii="Times New Roman" w:hAnsi="Times New Roman"/>
          <w:color w:val="000000"/>
          <w:sz w:val="24"/>
        </w:rPr>
      </w:pPr>
      <w:r>
        <w:rPr>
          <w:rFonts w:ascii="Times New Roman" w:hAnsi="Times New Roman"/>
          <w:color w:val="000000"/>
          <w:sz w:val="24"/>
        </w:rPr>
        <w:t>Both positive and negative information can be material. Because trading that receives scrutiny will be evaluated after the fact with the benefit of hindsight, questions concerning the materiality of particular information should be resolved in favor of materiality, and trading should be avoided.</w:t>
      </w:r>
    </w:p>
    <w:p>
      <w:pPr>
        <w:pStyle w:val="TextBody"/>
        <w:bidi w:val="0"/>
        <w:spacing w:before="160" w:after="283"/>
        <w:jc w:val="left"/>
        <w:rPr>
          <w:rFonts w:ascii="Times New Roman" w:hAnsi="Times New Roman"/>
          <w:sz w:val="20"/>
        </w:rPr>
      </w:pPr>
      <w:r>
        <w:rPr>
          <w:rFonts w:ascii="Times New Roman" w:hAnsi="Times New Roman"/>
          <w:i/>
          <w:color w:val="000000"/>
          <w:sz w:val="24"/>
        </w:rPr>
        <w:t xml:space="preserve">Nonpublic Information. </w:t>
      </w:r>
      <w:r>
        <w:rPr>
          <w:rFonts w:ascii="Times New Roman" w:hAnsi="Times New Roman"/>
          <w:color w:val="000000"/>
          <w:sz w:val="24"/>
        </w:rPr>
        <w:t>Nonpublic information is information that is not generally known or available to the public. One common misconception is that material information loses its “nonpublic” status as soon as a press release is issued disclosing the information. In fact, information is considered to be available to the public only when it has been released broadly to the marketplace (such as by a press release or an SEC filing</w:t>
      </w:r>
      <w:r>
        <w:rPr>
          <w:rFonts w:ascii="Times New Roman" w:hAnsi="Times New Roman"/>
          <w:i/>
          <w:color w:val="000000"/>
          <w:sz w:val="24"/>
        </w:rPr>
        <w:t xml:space="preserve">) and the investing public has had time to absorb the information fully. </w:t>
      </w:r>
      <w:r>
        <w:rPr>
          <w:rFonts w:ascii="Times New Roman" w:hAnsi="Times New Roman"/>
          <w:color w:val="000000"/>
          <w:sz w:val="24"/>
        </w:rPr>
        <w:t>As a general rule, information is considered nonpublic until the end of the second full trading day after the information is released. For example, if the Company announces financial earnings before trading begins on a Tuesday, the first time you can buy or sell Company securities is the opening of the market on Thursday (assuming you are not aware of other material nonpublic information at that time). However, if the Company announces earnings after trading begins on that Tuesday, the first time you can buy or sell Company securities is the opening of the market on Friday.</w:t>
      </w:r>
    </w:p>
    <w:p>
      <w:pPr>
        <w:pStyle w:val="TextBody"/>
        <w:bidi w:val="0"/>
        <w:jc w:val="left"/>
        <w:rPr/>
      </w:pPr>
      <w:r>
        <w:rPr/>
        <w:t> </w:t>
      </w:r>
    </w:p>
    <w:p>
      <w:pPr>
        <w:pStyle w:val="TextBody"/>
        <w:bidi w:val="0"/>
        <w:spacing w:before="10" w:after="283"/>
        <w:jc w:val="left"/>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76" w:after="283"/>
        <w:jc w:val="left"/>
        <w:rPr>
          <w:rFonts w:ascii="Times New Roman" w:hAnsi="Times New Roman"/>
          <w:color w:val="000000"/>
          <w:sz w:val="24"/>
        </w:rPr>
      </w:pPr>
      <w:r>
        <w:rPr>
          <w:rFonts w:ascii="Times New Roman" w:hAnsi="Times New Roman"/>
          <w:color w:val="000000"/>
          <w:sz w:val="24"/>
        </w:rPr>
        <w:t>ADDITIONAL GUIDANCE</w:t>
      </w:r>
    </w:p>
    <w:p>
      <w:pPr>
        <w:pStyle w:val="TextBody"/>
        <w:bidi w:val="0"/>
        <w:spacing w:before="160" w:after="283"/>
        <w:jc w:val="left"/>
        <w:rPr>
          <w:rFonts w:ascii="Times New Roman" w:hAnsi="Times New Roman"/>
          <w:color w:val="000000"/>
          <w:sz w:val="24"/>
        </w:rPr>
      </w:pPr>
      <w:r>
        <w:rPr>
          <w:rFonts w:ascii="Times New Roman" w:hAnsi="Times New Roman"/>
          <w:color w:val="000000"/>
          <w:sz w:val="24"/>
        </w:rPr>
        <w:t>The Company considers it improper and inappropriate for those employed by or associated with the Company to engage in short term or speculative transactions in the Company’s securities or in other transactions in the Company’s securities that may lead to inadvertent violations of the insider trading laws. Accordingly, your trading in Company securities is subject to the following additional guidance.</w:t>
      </w:r>
    </w:p>
    <w:p>
      <w:pPr>
        <w:pStyle w:val="TextBody"/>
        <w:bidi w:val="0"/>
        <w:spacing w:before="160" w:after="283"/>
        <w:jc w:val="left"/>
        <w:rPr>
          <w:rFonts w:ascii="Times New Roman" w:hAnsi="Times New Roman"/>
          <w:sz w:val="20"/>
        </w:rPr>
      </w:pPr>
      <w:r>
        <w:rPr>
          <w:rFonts w:ascii="Times New Roman" w:hAnsi="Times New Roman"/>
          <w:i/>
          <w:color w:val="000000"/>
          <w:sz w:val="24"/>
        </w:rPr>
        <w:t xml:space="preserve">Short Sales. </w:t>
      </w:r>
      <w:r>
        <w:rPr>
          <w:rFonts w:ascii="Times New Roman" w:hAnsi="Times New Roman"/>
          <w:color w:val="000000"/>
          <w:sz w:val="24"/>
        </w:rPr>
        <w:t>You may not engage in short sales of the Company’s securities (sales of securities that are not then owned), including a “sale against the box” (a sale with delayed delivery).</w:t>
      </w:r>
    </w:p>
    <w:p>
      <w:pPr>
        <w:pStyle w:val="TextBody"/>
        <w:bidi w:val="0"/>
        <w:spacing w:before="160" w:after="283"/>
        <w:jc w:val="left"/>
        <w:rPr>
          <w:rFonts w:ascii="Times New Roman" w:hAnsi="Times New Roman"/>
          <w:sz w:val="20"/>
        </w:rPr>
      </w:pPr>
      <w:r>
        <w:rPr>
          <w:rFonts w:ascii="Times New Roman" w:hAnsi="Times New Roman"/>
          <w:i/>
          <w:color w:val="000000"/>
          <w:sz w:val="24"/>
        </w:rPr>
        <w:t xml:space="preserve">Hedging Transactions. </w:t>
      </w:r>
      <w:r>
        <w:rPr>
          <w:rFonts w:ascii="Times New Roman" w:hAnsi="Times New Roman"/>
          <w:color w:val="000000"/>
          <w:sz w:val="24"/>
        </w:rPr>
        <w:t>Certain forms of hedging or monetization transactions, such as zero-cost collars and forward sales contracts, involve the establishment of a short position in the Company’s securities and limit or eliminate your ability to profit from an increase in the value of the Company’s securities. Therefore, you are prohibited from engaging in any hedging or monetization transactions involving Company securities.</w:t>
      </w:r>
    </w:p>
    <w:p>
      <w:pPr>
        <w:pStyle w:val="TextBody"/>
        <w:bidi w:val="0"/>
        <w:spacing w:before="160" w:after="283"/>
        <w:jc w:val="left"/>
        <w:rPr>
          <w:rFonts w:ascii="Times New Roman" w:hAnsi="Times New Roman"/>
          <w:sz w:val="20"/>
        </w:rPr>
      </w:pPr>
      <w:r>
        <w:rPr>
          <w:rFonts w:ascii="Times New Roman" w:hAnsi="Times New Roman"/>
          <w:i/>
          <w:color w:val="000000"/>
          <w:sz w:val="24"/>
        </w:rPr>
        <w:t>Publicly-Traded Options</w:t>
      </w:r>
      <w:r>
        <w:rPr>
          <w:rFonts w:ascii="Times New Roman" w:hAnsi="Times New Roman"/>
          <w:color w:val="000000"/>
          <w:sz w:val="24"/>
        </w:rPr>
        <w:t>. You may not engage in transactions in publicly-traded options, such as puts, calls and other derivative securities, on an exchange or in any other organized market.</w:t>
      </w:r>
    </w:p>
    <w:p>
      <w:pPr>
        <w:pStyle w:val="TextBody"/>
        <w:bidi w:val="0"/>
        <w:spacing w:before="160" w:after="283"/>
        <w:jc w:val="left"/>
        <w:rPr>
          <w:rFonts w:ascii="Times New Roman" w:hAnsi="Times New Roman"/>
          <w:sz w:val="20"/>
        </w:rPr>
      </w:pPr>
      <w:r>
        <w:rPr>
          <w:rFonts w:ascii="Times New Roman" w:hAnsi="Times New Roman"/>
          <w:i/>
          <w:color w:val="000000"/>
          <w:sz w:val="24"/>
        </w:rPr>
        <w:t>Standing Orders</w:t>
      </w:r>
      <w:r>
        <w:rPr>
          <w:rFonts w:ascii="Times New Roman" w:hAnsi="Times New Roman"/>
          <w:color w:val="000000"/>
          <w:sz w:val="24"/>
        </w:rPr>
        <w:t>. Standing orders should be used only for a very brief period of time. A standing order placed with a broker to sell or purchase stock at a specified price leaves you without control over the timing of the transaction. A standing order transaction executed by the broker when you are aware of material nonpublic information may result in unlawful insider trading.</w:t>
      </w:r>
    </w:p>
    <w:p>
      <w:pPr>
        <w:pStyle w:val="TextBody"/>
        <w:bidi w:val="0"/>
        <w:spacing w:before="160" w:after="283"/>
        <w:jc w:val="left"/>
        <w:rPr>
          <w:rFonts w:ascii="Times New Roman" w:hAnsi="Times New Roman"/>
          <w:sz w:val="20"/>
        </w:rPr>
      </w:pPr>
      <w:r>
        <w:rPr>
          <w:rFonts w:ascii="Times New Roman" w:hAnsi="Times New Roman"/>
          <w:i/>
          <w:color w:val="000000"/>
          <w:sz w:val="24"/>
        </w:rPr>
        <w:t>Margin Accounts and Pledges</w:t>
      </w:r>
      <w:r>
        <w:rPr>
          <w:rFonts w:ascii="Times New Roman" w:hAnsi="Times New Roman"/>
          <w:color w:val="000000"/>
          <w:sz w:val="24"/>
        </w:rPr>
        <w:t>. Securities held in a margin account or pledged as collateral for a loan may be sold without your consent by the broker if you fail to meet a margin call or by the lender in foreclosure if you default on the loan. Because a margin or foreclosure sale may occur when you are aware of material nonpublic information or otherwise are not permitted to trade, you are prohibited from holding Company securities in a margin account or pledging Company securities as collateral for a loan. An exception may be granted where you wish to pledge Company securities as collateral for a loan (not including margin debt) and clearly demonstrate the financial capacity to repay the loan without resort to the pledged securities. If you wish to pledge Company securities as collateral for a loan, you must submit a request for approval to the Company’s General Counsel at least two weeks prior to the proposed execution of documents evidencing the proposed pledge.</w:t>
      </w:r>
    </w:p>
    <w:p>
      <w:pPr>
        <w:pStyle w:val="Heading2"/>
        <w:bidi w:val="0"/>
        <w:spacing w:before="160" w:after="283"/>
        <w:jc w:val="left"/>
        <w:rPr>
          <w:rFonts w:ascii="Times New Roman" w:hAnsi="Times New Roman"/>
          <w:color w:val="000000"/>
          <w:sz w:val="24"/>
        </w:rPr>
      </w:pPr>
      <w:r>
        <w:rPr>
          <w:rFonts w:ascii="Times New Roman" w:hAnsi="Times New Roman"/>
          <w:color w:val="000000"/>
          <w:sz w:val="24"/>
        </w:rPr>
        <w:t>POST-TERMINATION TRANSACTIONS</w:t>
      </w:r>
    </w:p>
    <w:p>
      <w:pPr>
        <w:pStyle w:val="TextBody"/>
        <w:bidi w:val="0"/>
        <w:spacing w:before="160" w:after="283"/>
        <w:jc w:val="left"/>
        <w:rPr>
          <w:rFonts w:ascii="Times New Roman" w:hAnsi="Times New Roman"/>
          <w:color w:val="000000"/>
          <w:sz w:val="24"/>
        </w:rPr>
      </w:pPr>
      <w:r>
        <w:rPr>
          <w:rFonts w:ascii="Times New Roman" w:hAnsi="Times New Roman"/>
          <w:color w:val="000000"/>
          <w:sz w:val="24"/>
        </w:rPr>
        <w:t>This policy continues to apply to your transactions in Company securities even after you have terminated employment or other services to the Company or a subsidiary as follows: if you are aware of material nonpublic information when your employment or service relationship terminates, you may not trade in Company securities until that information has become public or is no longer material.</w:t>
      </w:r>
    </w:p>
    <w:p>
      <w:pPr>
        <w:pStyle w:val="TextBody"/>
        <w:bidi w:val="0"/>
        <w:jc w:val="left"/>
        <w:rPr/>
      </w:pPr>
      <w:r>
        <w:rPr/>
        <w:t> </w:t>
      </w:r>
    </w:p>
    <w:p>
      <w:pPr>
        <w:pStyle w:val="TextBody"/>
        <w:bidi w:val="0"/>
        <w:spacing w:before="10" w:after="283"/>
        <w:jc w:val="left"/>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60" w:after="283"/>
        <w:jc w:val="left"/>
        <w:rPr>
          <w:rFonts w:ascii="Times New Roman" w:hAnsi="Times New Roman"/>
          <w:color w:val="000000"/>
          <w:sz w:val="24"/>
        </w:rPr>
      </w:pPr>
      <w:r>
        <w:rPr>
          <w:rFonts w:ascii="Times New Roman" w:hAnsi="Times New Roman"/>
          <w:color w:val="000000"/>
          <w:sz w:val="24"/>
        </w:rPr>
        <w:t>UNAUTHORIZED DISCLOSURE</w:t>
      </w:r>
    </w:p>
    <w:p>
      <w:pPr>
        <w:pStyle w:val="TextBody"/>
        <w:bidi w:val="0"/>
        <w:spacing w:before="160" w:after="283"/>
        <w:jc w:val="left"/>
        <w:rPr>
          <w:rFonts w:ascii="Times New Roman" w:hAnsi="Times New Roman"/>
          <w:color w:val="000000"/>
          <w:sz w:val="24"/>
        </w:rPr>
      </w:pPr>
      <w:r>
        <w:rPr>
          <w:rFonts w:ascii="Times New Roman" w:hAnsi="Times New Roman"/>
          <w:color w:val="000000"/>
          <w:sz w:val="24"/>
        </w:rPr>
        <w:t>Maintaining the confidentiality of Company information is essential for competitive, security and other business reasons, as well as to comply with securities laws. You should treat all information you learn about the Company or its business plans in connection with your employment as confidential and proprietary to the Company. Inadvertent disclosure of confidential or inside information may expose the Company and you to significant risk of investigation and litigation.</w:t>
      </w:r>
    </w:p>
    <w:p>
      <w:pPr>
        <w:pStyle w:val="TextBody"/>
        <w:bidi w:val="0"/>
        <w:spacing w:before="161" w:after="283"/>
        <w:jc w:val="left"/>
        <w:rPr>
          <w:rFonts w:ascii="Times New Roman" w:hAnsi="Times New Roman"/>
          <w:color w:val="000000"/>
          <w:sz w:val="24"/>
        </w:rPr>
      </w:pPr>
      <w:r>
        <w:rPr>
          <w:rFonts w:ascii="Times New Roman" w:hAnsi="Times New Roman"/>
          <w:color w:val="000000"/>
          <w:sz w:val="24"/>
        </w:rPr>
        <w:t>The timing and nature of the Company’s disclosure of material information to outsiders is subject to legal rules, the breach of which could result in substantial liability to you, the Company and its management. Accordingly, it is important that responses to inquiries about the Company by the press, investment analysts or others in the financial community be made on the Company’s behalf only through authorized individuals and you should refer any such inquiries to the Company’s Investor Relations department.</w:t>
      </w:r>
    </w:p>
    <w:p>
      <w:pPr>
        <w:pStyle w:val="Heading2"/>
        <w:bidi w:val="0"/>
        <w:spacing w:before="159" w:after="283"/>
        <w:jc w:val="left"/>
        <w:rPr>
          <w:rFonts w:ascii="Times New Roman" w:hAnsi="Times New Roman"/>
          <w:color w:val="000000"/>
          <w:sz w:val="24"/>
        </w:rPr>
      </w:pPr>
      <w:r>
        <w:rPr>
          <w:rFonts w:ascii="Times New Roman" w:hAnsi="Times New Roman"/>
          <w:color w:val="000000"/>
          <w:sz w:val="24"/>
        </w:rPr>
        <w:t>PERSONAL RESPONSIBILITY</w:t>
      </w:r>
    </w:p>
    <w:p>
      <w:pPr>
        <w:pStyle w:val="TextBody"/>
        <w:bidi w:val="0"/>
        <w:spacing w:before="160" w:after="283"/>
        <w:jc w:val="left"/>
        <w:rPr>
          <w:rFonts w:ascii="Times New Roman" w:hAnsi="Times New Roman"/>
          <w:color w:val="000000"/>
          <w:sz w:val="24"/>
        </w:rPr>
      </w:pPr>
      <w:r>
        <w:rPr>
          <w:rFonts w:ascii="Times New Roman" w:hAnsi="Times New Roman"/>
          <w:color w:val="000000"/>
          <w:sz w:val="24"/>
        </w:rPr>
        <w:t>You should remember that the ultimate responsibility for adhering to this policy and avoiding improper trading rests with you. If you violate this policy, the Company may take disciplinary action against you, including dismissal for cause.</w:t>
      </w:r>
    </w:p>
    <w:p>
      <w:pPr>
        <w:pStyle w:val="Heading2"/>
        <w:bidi w:val="0"/>
        <w:spacing w:before="160" w:after="283"/>
        <w:jc w:val="left"/>
        <w:rPr>
          <w:rFonts w:ascii="Times New Roman" w:hAnsi="Times New Roman"/>
          <w:color w:val="000000"/>
          <w:sz w:val="24"/>
        </w:rPr>
      </w:pPr>
      <w:r>
        <w:rPr>
          <w:rFonts w:ascii="Times New Roman" w:hAnsi="Times New Roman"/>
          <w:color w:val="000000"/>
          <w:sz w:val="24"/>
        </w:rPr>
        <w:t>COMPANY ASSISTANCE</w:t>
      </w:r>
    </w:p>
    <w:p>
      <w:pPr>
        <w:pStyle w:val="TextBody"/>
        <w:bidi w:val="0"/>
        <w:spacing w:before="160" w:after="283"/>
        <w:jc w:val="left"/>
        <w:rPr>
          <w:rFonts w:ascii="Times New Roman" w:hAnsi="Times New Roman"/>
          <w:color w:val="000000"/>
          <w:sz w:val="24"/>
        </w:rPr>
      </w:pPr>
      <w:r>
        <w:rPr>
          <w:rFonts w:ascii="Times New Roman" w:hAnsi="Times New Roman"/>
          <w:color w:val="000000"/>
          <w:sz w:val="24"/>
        </w:rPr>
        <w:t>Your compliance with this policy is of the utmost importance both for you and for the Company. If you have any questions about this policy or its application to any proposed transaction, you may obtain additional guidance from [***]. Do not try to resolve uncertainties on your own, as the rules relating to insider trading are often complex, not always intuitive and carry severe consequences.</w:t>
      </w:r>
    </w:p>
    <w:p>
      <w:pPr>
        <w:pStyle w:val="Heading2"/>
        <w:bidi w:val="0"/>
        <w:spacing w:before="160" w:after="283"/>
        <w:jc w:val="left"/>
        <w:rPr>
          <w:rFonts w:ascii="Times New Roman" w:hAnsi="Times New Roman"/>
          <w:color w:val="000000"/>
          <w:sz w:val="24"/>
        </w:rPr>
      </w:pPr>
      <w:r>
        <w:rPr>
          <w:rFonts w:ascii="Times New Roman" w:hAnsi="Times New Roman"/>
          <w:color w:val="000000"/>
          <w:sz w:val="24"/>
        </w:rPr>
        <w:t>CERTIFICATION</w:t>
      </w:r>
    </w:p>
    <w:p>
      <w:pPr>
        <w:pStyle w:val="TextBody"/>
        <w:bidi w:val="0"/>
        <w:spacing w:before="160" w:after="283"/>
        <w:jc w:val="left"/>
        <w:rPr>
          <w:rFonts w:ascii="Times New Roman" w:hAnsi="Times New Roman"/>
          <w:color w:val="000000"/>
          <w:sz w:val="24"/>
        </w:rPr>
      </w:pPr>
      <w:r>
        <w:rPr>
          <w:rFonts w:ascii="Times New Roman" w:hAnsi="Times New Roman"/>
          <w:color w:val="000000"/>
          <w:sz w:val="24"/>
        </w:rPr>
        <w:t>This policy is amended and restated as of May 16, 2023.</w:t>
      </w:r>
    </w:p>
    <w:p>
      <w:pPr>
        <w:pStyle w:val="TextBody"/>
        <w:bidi w:val="0"/>
        <w:jc w:val="left"/>
        <w:rPr/>
      </w:pPr>
      <w:r>
        <w:rPr/>
        <w:t> </w:t>
      </w:r>
    </w:p>
    <w:p>
      <w:pPr>
        <w:pStyle w:val="TextBody"/>
        <w:bidi w:val="0"/>
        <w:spacing w:before="10" w:after="283"/>
        <w:jc w:val="left"/>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59" w:after="283"/>
        <w:jc w:val="center"/>
        <w:rPr>
          <w:rFonts w:ascii="Times New Roman" w:hAnsi="Times New Roman"/>
          <w:smallCaps/>
          <w:color w:val="000000"/>
          <w:sz w:val="32"/>
        </w:rPr>
      </w:pPr>
      <w:bookmarkStart w:id="37" w:name="addendum_to_the_insider_trading_policy__"/>
      <w:bookmarkEnd w:id="37"/>
      <w:r>
        <w:rPr>
          <w:rFonts w:ascii="Times New Roman" w:hAnsi="Times New Roman"/>
          <w:smallCaps/>
          <w:color w:val="000000"/>
          <w:sz w:val="32"/>
        </w:rPr>
        <w:t>Domino’s Pizza, Inc.</w:t>
      </w:r>
    </w:p>
    <w:p>
      <w:pPr>
        <w:pStyle w:val="TextBody"/>
        <w:bidi w:val="0"/>
        <w:spacing w:before="221" w:after="283"/>
        <w:jc w:val="left"/>
        <w:rPr/>
      </w:pPr>
      <w:r>
        <w:rPr/>
        <w:t> </w:t>
      </w:r>
    </w:p>
    <w:p>
      <w:pPr>
        <w:pStyle w:val="Heading2"/>
        <w:bidi w:val="0"/>
        <w:jc w:val="center"/>
        <w:rPr>
          <w:rFonts w:ascii="Times New Roman" w:hAnsi="Times New Roman"/>
          <w:color w:val="000000"/>
          <w:sz w:val="24"/>
        </w:rPr>
      </w:pPr>
      <w:r>
        <w:rPr>
          <w:rFonts w:ascii="Times New Roman" w:hAnsi="Times New Roman"/>
          <w:color w:val="000000"/>
          <w:sz w:val="24"/>
        </w:rPr>
        <w:t>ADDENDUM TO INSIDER TRADING POLICY—PRE-CLEARANCE AND BLACKOUT PROCEDURES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Amended and Restated as of May 16, 2023</w:t>
      </w:r>
    </w:p>
    <w:p>
      <w:pPr>
        <w:pStyle w:val="TextBody"/>
        <w:bidi w:val="0"/>
        <w:spacing w:before="41" w:after="283"/>
        <w:jc w:val="left"/>
        <w:rPr/>
      </w:pPr>
      <w:r>
        <w:rPr/>
        <w:t> </w:t>
      </w:r>
    </w:p>
    <w:p>
      <w:pPr>
        <w:pStyle w:val="TextBody"/>
        <w:bidi w:val="0"/>
        <w:spacing w:before="1"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To help prevent inadvertent violations of the federal securities laws and to avoid even the appearance of trading on inside information, the Company’s Board of Directors has adopted this Addendum to Insider Trading Policy (this “addendum”). This addendum applies to directors, executive officers subject to Section 16 of the Securities Exchange of 1934 (“executive officers”) and certain designated employees and consultants of the Company and its subsidiaries who have access to material nonpublic information about the Company. The positions of the covered persons subject to the pre-clearance and blackout procedures of this addendum are listed on the attached Schedule I and are reviewed by the Company on a regular basis. The Company may from time to time designate other positions that are subject to this addendum and will amend Schedule I from time to time as necessary to reflect such changes or the resignation or change of status of any individual.</w:t>
      </w:r>
    </w:p>
    <w:p>
      <w:pPr>
        <w:pStyle w:val="TextBody"/>
        <w:bidi w:val="0"/>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This addendum is in addition to and supplements the Company’s Insider Trading Policy. Directors and executive officers are also subject to additional procedures designed to address the two-day Form 4 filing requirement under Section 16 of the Securities Exchange Act of 1934. These procedures are covered in a separate memorandum. Should you have any questions regarding this addendum, please contact [***].</w:t>
      </w:r>
    </w:p>
    <w:p>
      <w:pPr>
        <w:pStyle w:val="Heading2"/>
        <w:bidi w:val="0"/>
        <w:spacing w:before="274" w:after="283"/>
        <w:jc w:val="left"/>
        <w:rPr>
          <w:rFonts w:ascii="Times New Roman" w:hAnsi="Times New Roman"/>
          <w:color w:val="000000"/>
          <w:sz w:val="24"/>
        </w:rPr>
      </w:pPr>
      <w:r>
        <w:rPr>
          <w:rFonts w:ascii="Times New Roman" w:hAnsi="Times New Roman"/>
          <w:color w:val="000000"/>
          <w:sz w:val="24"/>
        </w:rPr>
        <w:t>PRE-CLEARANCE PROCEDURES</w:t>
      </w:r>
    </w:p>
    <w:p>
      <w:pPr>
        <w:pStyle w:val="TextBody"/>
        <w:bidi w:val="0"/>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The Company’s directors, executive officers and individuals designated as “Pre-Clearance Covered Persons” on Schedule I are covered by the following pre-clearance procedures.</w:t>
      </w:r>
    </w:p>
    <w:p>
      <w:pPr>
        <w:pStyle w:val="TextBody"/>
        <w:bidi w:val="0"/>
        <w:spacing w:before="276" w:after="283"/>
        <w:jc w:val="left"/>
        <w:rPr>
          <w:rFonts w:ascii="Times New Roman" w:hAnsi="Times New Roman"/>
          <w:color w:val="000000"/>
          <w:sz w:val="24"/>
        </w:rPr>
      </w:pPr>
      <w:r>
        <w:rPr>
          <w:rFonts w:ascii="Times New Roman" w:hAnsi="Times New Roman"/>
          <w:color w:val="000000"/>
          <w:sz w:val="24"/>
        </w:rPr>
        <w:t>Directors, executive officers and individuals designated as “Pre-Clearance Covered Persons” on Schedule I, together with their family members and other members of their household, may not engage in any transaction involving the Company’s securities (including a stock plan transaction such as an option exercise, or a gift, loan, pledge or hedge, contribution to a trust or any other transfer) without first obtaining pre-clearance of the transaction from the Company’s General Counsel or the Chief Executive Officer (each, the “compliance officer”). A request for pre-clearance should be submitted to the compliance officer at least two (2) business days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in advance of the proposed transaction. The compliance officer is under no obligation to approve a trade submitted for pre-clearance, and may determine not to permit the trade. The compliance officer himself or herself may not trade in Company securities unless the other compliance officer has approved the trade(s) in accordance with the procedures set forth in this addendum.</w:t>
      </w:r>
    </w:p>
    <w:p>
      <w:pPr>
        <w:pStyle w:val="TextBody"/>
        <w:bidi w:val="0"/>
        <w:jc w:val="left"/>
        <w:rPr/>
      </w:pPr>
      <w:r>
        <w:rPr/>
        <w:t> </w:t>
      </w:r>
    </w:p>
    <w:p>
      <w:pPr>
        <w:pStyle w:val="Heading2"/>
        <w:bidi w:val="0"/>
        <w:jc w:val="left"/>
        <w:rPr>
          <w:rFonts w:ascii="Times New Roman" w:hAnsi="Times New Roman"/>
          <w:color w:val="000000"/>
          <w:sz w:val="24"/>
        </w:rPr>
      </w:pPr>
      <w:r>
        <w:rPr>
          <w:rFonts w:ascii="Times New Roman" w:hAnsi="Times New Roman"/>
          <w:color w:val="000000"/>
          <w:sz w:val="24"/>
        </w:rPr>
        <w:t>BLACKOUT PROCEDURES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All directors, executive officers and individuals designated as “Blackout Covered Persons” on Schedule I are subject to the following blackout procedures.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4"/>
        </w:rPr>
        <w:t>Quarterly Blackout Periods</w:t>
      </w:r>
      <w:r>
        <w:rPr>
          <w:rFonts w:ascii="Times New Roman" w:hAnsi="Times New Roman"/>
          <w:color w:val="000000"/>
          <w:sz w:val="24"/>
        </w:rPr>
        <w:t>. The Company’s announcement of its quarterly financial results almost always has the potential to have a material effect on the market for the Company’s securities and the Company’s stock price. Therefore, to avoid even the appearance of trading on the basis of material nonpublic information, you may not trade in the Company’s securities during the period beginning seven (7) days prior to the end of the quarter and ending after the second (2</w:t>
      </w:r>
      <w:r>
        <w:rPr>
          <w:rFonts w:ascii="Times New Roman" w:hAnsi="Times New Roman"/>
          <w:color w:val="000000"/>
          <w:sz w:val="16"/>
        </w:rPr>
        <w:t>nd</w:t>
      </w:r>
      <w:r>
        <w:rPr>
          <w:rFonts w:ascii="Times New Roman" w:hAnsi="Times New Roman"/>
          <w:color w:val="000000"/>
          <w:sz w:val="24"/>
        </w:rPr>
        <w:t>) business day following the release of the Company’s earnings for the quarter.</w:t>
      </w:r>
    </w:p>
    <w:p>
      <w:pPr>
        <w:pStyle w:val="TextBody"/>
        <w:bidi w:val="0"/>
        <w:jc w:val="left"/>
        <w:rPr>
          <w:rFonts w:ascii="Times New Roman" w:hAnsi="Times New Roman"/>
          <w:color w:val="000000"/>
          <w:sz w:val="24"/>
        </w:rPr>
      </w:pPr>
      <w:r>
        <w:rPr>
          <w:rFonts w:ascii="Times New Roman" w:hAnsi="Times New Roman"/>
          <w:color w:val="000000"/>
          <w:sz w:val="24"/>
        </w:rPr>
        <w:t>Persons subject to these quarterly blackout periods include the persons currently listed as “Blackout Covered Persons” on Schedule I attached to this addendum and all other persons who may be informed by the compliance officer that they are subject to the quarterly blackout periods.</w:t>
      </w:r>
    </w:p>
    <w:p>
      <w:pPr>
        <w:pStyle w:val="TextBody"/>
        <w:bidi w:val="0"/>
        <w:jc w:val="left"/>
        <w:rPr/>
      </w:pPr>
      <w:r>
        <w:rPr/>
        <w:t> </w:t>
      </w:r>
    </w:p>
    <w:p>
      <w:pPr>
        <w:pStyle w:val="TextBody"/>
        <w:bidi w:val="0"/>
        <w:spacing w:before="1" w:after="283"/>
        <w:jc w:val="left"/>
        <w:rPr>
          <w:rFonts w:ascii="Times New Roman" w:hAnsi="Times New Roman"/>
          <w:sz w:val="20"/>
        </w:rPr>
      </w:pPr>
      <w:r>
        <w:rPr>
          <w:rFonts w:ascii="Times New Roman" w:hAnsi="Times New Roman"/>
          <w:i/>
          <w:color w:val="000000"/>
          <w:sz w:val="24"/>
        </w:rPr>
        <w:t>Interim Earnings Guidance and Event Specific Blackouts</w:t>
      </w:r>
      <w:r>
        <w:rPr>
          <w:rFonts w:ascii="Times New Roman" w:hAnsi="Times New Roman"/>
          <w:color w:val="000000"/>
          <w:sz w:val="24"/>
        </w:rPr>
        <w:t>. The Company may on occasion issue interim earnings guidance or other potentially material information by means of a press release, SEC filing on Form 8-K or other means designed to achieve widespread dissemination of the information. You should anticipate that trading will be blacked out while the Company is in the process of assembling the information to be released and until the information has been released and fully absorbed by the market.</w:t>
      </w:r>
    </w:p>
    <w:p>
      <w:pPr>
        <w:pStyle w:val="TextBody"/>
        <w:bidi w:val="0"/>
        <w:spacing w:before="274" w:after="283"/>
        <w:jc w:val="left"/>
        <w:rPr>
          <w:rFonts w:ascii="Times New Roman" w:hAnsi="Times New Roman"/>
          <w:color w:val="000000"/>
          <w:sz w:val="24"/>
        </w:rPr>
      </w:pPr>
      <w:r>
        <w:rPr>
          <w:rFonts w:ascii="Times New Roman" w:hAnsi="Times New Roman"/>
          <w:color w:val="000000"/>
          <w:sz w:val="24"/>
        </w:rPr>
        <w:t>From time to time, an event may occur that is material to the Company and is known by only a few directors, executive officers or other designated individuals. So long as the event remains material and nonpublic, the persons who are aware of the event may not trade in the Company’s securities. The existence of an event-specific blackout will not be announced, other than to those who are aware of the event giving rise to the blackout. If, however, a person whose trades are subject to pre-clearance requests permission to trade in the Company’s securities during an event-specific blackout period, the compliance officer will inform the requesting person of the existence of a blackout period, without disclosing the reason for the blackout. Any person made aware of the existence of an event-specific blackout should not disclose the existence of the blackout to any other person. The failure of the compliance officer to designate a person as being subject to an event-specific blackout will not relieve that person of the obligation not to trade while aware of material nonpublic information.</w:t>
      </w:r>
    </w:p>
    <w:p>
      <w:pPr>
        <w:pStyle w:val="TextBody"/>
        <w:bidi w:val="0"/>
        <w:spacing w:before="1"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Directors and executive officers may also be subject to event-specific blackouts pursuant to the SEC’s Regulation Blackout Trading Restriction, which prohibits certain sales and other transfers by insiders during certain pension plan blackout periods.</w:t>
      </w:r>
    </w:p>
    <w:p>
      <w:pPr>
        <w:pStyle w:val="TextBody"/>
        <w:bidi w:val="0"/>
        <w:jc w:val="left"/>
        <w:rPr/>
      </w:pPr>
      <w:r>
        <w:rPr/>
        <w:t> </w:t>
      </w:r>
    </w:p>
    <w:p>
      <w:pPr>
        <w:pStyle w:val="TextBody"/>
        <w:bidi w:val="0"/>
        <w:spacing w:before="10" w:after="283"/>
        <w:jc w:val="left"/>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b/>
          <w:color w:val="000000"/>
          <w:sz w:val="24"/>
        </w:rPr>
      </w:pPr>
      <w:r>
        <w:rPr>
          <w:rFonts w:ascii="Times New Roman" w:hAnsi="Times New Roman"/>
          <w:b/>
          <w:color w:val="000000"/>
          <w:sz w:val="24"/>
        </w:rPr>
        <w:t>Even if a blackout period is not in effect, at no time may you trade in Company securities if you are aware of material nonpublic information about the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4"/>
        </w:rPr>
        <w:t xml:space="preserve">Hardship Exceptions. </w:t>
      </w:r>
      <w:r>
        <w:rPr>
          <w:rFonts w:ascii="Times New Roman" w:hAnsi="Times New Roman"/>
          <w:color w:val="000000"/>
          <w:sz w:val="24"/>
        </w:rPr>
        <w:t>A “Blackout Covered Person” listed on Schedule I who is subject to a quarterly earnings blackout period and who has an unexpected and urgent need to sell Company stock in order to generate cash may, in appropriate circumstances, be permitted to sell Company stock even during the quarterly blackout period. Hardship exceptions may be granted only by the compliance officer and must be requested at least two (2) days in advance of the proposed trade. A hardship exception may be granted only if the compliance officer concludes that the Company’s earnings information for the applicable quarter does not constitute material nonpublic information. Under no circumstances will a hardship exception be granted during an event-specific blackout period or to a director or executive officer.</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EXCEPTION FOR APPROVED 10b5-1 PLANS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Trades by individuals subject to this addendum in the Company’s securities that are executed pursuant to an approved 10b5-1 plan are not subject to the prohibition on trading on the basis of material nonpublic information contained in the Insider Trading Policy or to the restrictions set forth above relating to pre-clearance procedures and blackout periods.</w:t>
      </w:r>
    </w:p>
    <w:p>
      <w:pPr>
        <w:pStyle w:val="TextBody"/>
        <w:bidi w:val="0"/>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Rule 10b5-1 provides an affirmative defense from insider trading liability under the federal securities laws for trading plans that meet certain requirements. In general, a 10b5-1 plan must be entered into before you are aware of material nonpublic information and may not be modified if the modifier possesses material nonpublic information. Once the plan is adopted, you must not exercise any influence over the amount of securities to be traded, the price at which they are to be traded or the date of the trade. The plan must either specify (including by formula) the amount, pricing and timing of transactions in advance or delegate discretion on those matters to an independent third party.</w:t>
      </w:r>
    </w:p>
    <w:p>
      <w:pPr>
        <w:pStyle w:val="TextBody"/>
        <w:bidi w:val="0"/>
        <w:spacing w:before="274" w:after="283"/>
        <w:jc w:val="left"/>
        <w:rPr>
          <w:rFonts w:ascii="Times New Roman" w:hAnsi="Times New Roman"/>
          <w:color w:val="000000"/>
          <w:sz w:val="24"/>
        </w:rPr>
      </w:pPr>
      <w:r>
        <w:rPr>
          <w:rFonts w:ascii="Times New Roman" w:hAnsi="Times New Roman"/>
          <w:color w:val="000000"/>
          <w:sz w:val="24"/>
        </w:rPr>
        <w:t>The Company requires that all 10b5-1 plans be approved in writing in advance by the compliance officer. 10b5-1 plans generally may not be adopted during a blackout period and may only be adopted if the person adopting the plan is unaware of material nonpublic information. Additionally, all 10b5-1 plans must comply with and be designed in accordance with all applicable laws and regulations, including but not limited to those applicable to Rule 10b5-1 promulgated by the SEC relating to required “cooling off” periods, limitations on overlapping plans and limitations on single-trade plans.</w:t>
      </w:r>
    </w:p>
    <w:p>
      <w:pPr>
        <w:pStyle w:val="TextBody"/>
        <w:bidi w:val="0"/>
        <w:jc w:val="left"/>
        <w:rPr/>
      </w:pPr>
      <w:r>
        <w:rPr/>
        <w:t> </w:t>
      </w:r>
    </w:p>
    <w:p>
      <w:pPr>
        <w:pStyle w:val="Heading2"/>
        <w:bidi w:val="0"/>
        <w:spacing w:before="1" w:after="283"/>
        <w:jc w:val="left"/>
        <w:rPr>
          <w:rFonts w:ascii="Times New Roman" w:hAnsi="Times New Roman"/>
          <w:color w:val="000000"/>
          <w:sz w:val="24"/>
        </w:rPr>
      </w:pPr>
      <w:r>
        <w:rPr>
          <w:rFonts w:ascii="Times New Roman" w:hAnsi="Times New Roman"/>
          <w:color w:val="000000"/>
          <w:sz w:val="24"/>
        </w:rPr>
        <w:t>HEDGING TRANSACTIONS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accordance with the Company’s Insider Trading Policy, you are prohibited from engaging in any hedging or monetization transactions involving Company securities.</w:t>
      </w:r>
    </w:p>
    <w:p>
      <w:pPr>
        <w:pStyle w:val="TextBody"/>
        <w:bidi w:val="0"/>
        <w:jc w:val="left"/>
        <w:rPr/>
      </w:pPr>
      <w:r>
        <w:rPr/>
        <w:t> </w:t>
      </w:r>
    </w:p>
    <w:p>
      <w:pPr>
        <w:pStyle w:val="Heading2"/>
        <w:bidi w:val="0"/>
        <w:jc w:val="left"/>
        <w:rPr>
          <w:rFonts w:ascii="Times New Roman" w:hAnsi="Times New Roman"/>
          <w:color w:val="000000"/>
          <w:sz w:val="24"/>
        </w:rPr>
      </w:pPr>
      <w:r>
        <w:rPr>
          <w:rFonts w:ascii="Times New Roman" w:hAnsi="Times New Roman"/>
          <w:color w:val="000000"/>
          <w:sz w:val="24"/>
        </w:rPr>
        <w:t>POST-TERMINATION TRANSACTIONS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If you are aware of material nonpublic information when you terminate employment or services, you may not trade in the Company’s securities until that information has become</w:t>
      </w:r>
    </w:p>
    <w:p>
      <w:pPr>
        <w:pStyle w:val="TextBody"/>
        <w:bidi w:val="0"/>
        <w:jc w:val="left"/>
        <w:rPr/>
      </w:pPr>
      <w:r>
        <w:rPr/>
        <w:t> </w:t>
      </w:r>
    </w:p>
    <w:p>
      <w:pPr>
        <w:pStyle w:val="TextBody"/>
        <w:bidi w:val="0"/>
        <w:spacing w:before="10" w:after="283"/>
        <w:jc w:val="left"/>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public or is no longer material. In all other respects, the procedures set forth in this addendum will cease to apply to your transactions in Company securities upon the expiration of any ‘blackout period” that is applicable to your transactions at the time of your termination of employment or services.</w:t>
      </w:r>
    </w:p>
    <w:p>
      <w:pPr>
        <w:pStyle w:val="TextBody"/>
        <w:bidi w:val="0"/>
        <w:jc w:val="left"/>
        <w:rPr/>
      </w:pPr>
      <w:r>
        <w:rPr/>
        <w:t> </w:t>
      </w:r>
    </w:p>
    <w:p>
      <w:pPr>
        <w:pStyle w:val="Heading2"/>
        <w:bidi w:val="0"/>
        <w:jc w:val="left"/>
        <w:rPr>
          <w:rFonts w:ascii="Times New Roman" w:hAnsi="Times New Roman"/>
          <w:color w:val="000000"/>
          <w:sz w:val="24"/>
        </w:rPr>
      </w:pPr>
      <w:r>
        <w:rPr>
          <w:rFonts w:ascii="Times New Roman" w:hAnsi="Times New Roman"/>
          <w:color w:val="000000"/>
          <w:sz w:val="24"/>
        </w:rPr>
        <w:t>COMPANY ASSISTANCE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Your compliance with this addendum and the Company’s Insider Trading Policy is of the utmost importance both for you and for the Company. If you have any questions about this addendum, the Insider Trading Policy or their application to any proposed transaction, you may obtain additional guidance from the compliance officer.</w:t>
      </w:r>
    </w:p>
    <w:p>
      <w:pPr>
        <w:pStyle w:val="TextBody"/>
        <w:bidi w:val="0"/>
        <w:jc w:val="left"/>
        <w:rPr/>
      </w:pPr>
      <w:r>
        <w:rPr/>
        <w:t> </w:t>
      </w:r>
    </w:p>
    <w:p>
      <w:pPr>
        <w:pStyle w:val="Heading2"/>
        <w:bidi w:val="0"/>
        <w:jc w:val="left"/>
        <w:rPr>
          <w:rFonts w:ascii="Times New Roman" w:hAnsi="Times New Roman"/>
          <w:color w:val="000000"/>
          <w:sz w:val="24"/>
        </w:rPr>
      </w:pPr>
      <w:r>
        <w:rPr>
          <w:rFonts w:ascii="Times New Roman" w:hAnsi="Times New Roman"/>
          <w:color w:val="000000"/>
          <w:sz w:val="24"/>
        </w:rPr>
        <w:t>CERTIFICATION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All directors, officers and other employees and consultants subject to the procedures set forth in this addendum must certify their understating of, and intent to comply with, the Company’s Insider Trading Policy and this addendum on the form attached to this addendum.</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addendum is amended and restated as of May 16, 2023 and, other than the Company’s Insider Trading Policy, supersedes any previous policy of the Company concerning insider trading restrictions applicable to directors, executive officers and other individuals subject to this addendum.</w:t>
      </w:r>
    </w:p>
    <w:p>
      <w:pPr>
        <w:pStyle w:val="TextBody"/>
        <w:bidi w:val="0"/>
        <w:jc w:val="left"/>
        <w:rPr/>
      </w:pPr>
      <w:r>
        <w:rPr/>
        <w:t> </w:t>
      </w:r>
    </w:p>
    <w:p>
      <w:pPr>
        <w:pStyle w:val="TextBody"/>
        <w:bidi w:val="0"/>
        <w:spacing w:before="10" w:after="283"/>
        <w:jc w:val="left"/>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center"/>
        <w:rPr>
          <w:rFonts w:ascii="Times New Roman" w:hAnsi="Times New Roman"/>
          <w:b/>
          <w:color w:val="000000"/>
          <w:sz w:val="24"/>
        </w:rPr>
      </w:pPr>
      <w:r>
        <w:rPr>
          <w:rFonts w:ascii="Times New Roman" w:hAnsi="Times New Roman"/>
          <w:b/>
          <w:color w:val="000000"/>
          <w:sz w:val="24"/>
        </w:rPr>
        <w:t>Schedule I</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Pre-Clearance Covered Persons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 w:after="283"/>
        <w:jc w:val="left"/>
        <w:rPr>
          <w:rFonts w:ascii="Times New Roman" w:hAnsi="Times New Roman"/>
          <w:b/>
          <w:color w:val="000000"/>
          <w:sz w:val="24"/>
        </w:rPr>
      </w:pPr>
      <w:r>
        <w:rPr>
          <w:rFonts w:ascii="Times New Roman" w:hAnsi="Times New Roman"/>
          <w:b/>
          <w:color w:val="000000"/>
          <w:sz w:val="24"/>
        </w:rPr>
        <w:t>Blackout Covered Persons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center"/>
        <w:rPr>
          <w:rFonts w:ascii="Times New Roman" w:hAnsi="Times New Roman"/>
          <w:b/>
          <w:color w:val="000000"/>
          <w:sz w:val="24"/>
        </w:rPr>
      </w:pPr>
      <w:r>
        <w:rPr>
          <w:rFonts w:ascii="Times New Roman" w:hAnsi="Times New Roman"/>
          <w:b/>
          <w:color w:val="000000"/>
          <w:sz w:val="24"/>
        </w:rPr>
        <w:t>DOMINO’S PIZZA, INC.</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ADDENDUM TO INSIDER TRADING POLICY—PRE-CLEARANCE AND BLACKOUT PROCEDURES</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CERTIFICATION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To Domino’s Pizza, Inc.:</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(name), have received and read a copy of the Domino’s Pizza, Inc. Insider Trading Policy dated May 16, 2023 and the Addendum to Insider Trading Policy—Pre-Clearance and Blackout Procedures dated May 16, 2023 regarding pre-clearance and blackout procedures. I hereby agree to comply with the specific requirements of the policy and the addendum in all applicable respects during my employment or other service relationship with Domino’s Pizza, Inc. I understand that my failure to comply in all applicable respects with the policy and the addendum is a basis for termination for cause of my employment or other service relationship with Domino’s Pizza, Inc.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7"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(Signature)</w:t>
      </w:r>
    </w:p>
    <w:p>
      <w:pPr>
        <w:pStyle w:val="TextBody"/>
        <w:bidi w:val="0"/>
        <w:jc w:val="left"/>
        <w:rPr/>
      </w:pPr>
      <w:r>
        <w:rPr/>
        <w:t> </w:t>
      </w:r>
    </w:p>
    <w:p>
      <w:pPr>
        <w:pStyle w:val="TextBody"/>
        <w:bidi w:val="0"/>
        <w:jc w:val="left"/>
        <w:rPr/>
      </w:pPr>
      <w:r>
        <w:rPr/>
        <w:t> </w:t>
      </w:r>
    </w:p>
    <w:p>
      <w:pPr>
        <w:pStyle w:val="TextBody"/>
        <w:bidi w:val="0"/>
        <w:spacing w:before="108"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38" w:name="dpz-ex21_1.htm"/>
      <w:bookmarkStart w:id="39" w:name="ksdpzex21_1"/>
      <w:bookmarkEnd w:id="38"/>
      <w:bookmarkEnd w:id="39"/>
      <w:r>
        <w:rPr>
          <w:rFonts w:ascii="Times New Roman" w:hAnsi="Times New Roman"/>
          <w:color w:val="000000"/>
          <w:sz w:val="22"/>
        </w:rPr>
        <w:t>EXHIBIT 21.1</w:t>
      </w:r>
      <w:r>
        <w:br w:type="page"/>
      </w:r>
    </w:p>
    <w:p>
      <w:pPr>
        <w:pStyle w:val="TextBody"/>
        <w:bidi w:val="0"/>
        <w:jc w:val="right"/>
        <w:rPr/>
      </w:pPr>
      <w:r>
        <w:rPr/>
        <w:t> </w:t>
      </w:r>
    </w:p>
    <w:p>
      <w:pPr>
        <w:pStyle w:val="TextBody"/>
        <w:bidi w:val="0"/>
        <w:jc w:val="righ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SIGNIFICANT SUBSIDIARIES OF DOMINO’S PIZZA, INC.</w:t>
      </w:r>
    </w:p>
    <w:p>
      <w:pPr>
        <w:pStyle w:val="TextBody"/>
        <w:bidi w:val="0"/>
        <w:jc w:val="center"/>
        <w:rPr/>
      </w:pPr>
      <w:r>
        <w:rPr/>
        <w:t> </w:t>
      </w:r>
    </w:p>
    <w:p>
      <w:pPr>
        <w:pStyle w:val="TextBody"/>
        <w:bidi w:val="0"/>
        <w:jc w:val="center"/>
        <w:rPr/>
      </w:pPr>
      <w:r>
        <w:rPr/>
        <w:t> </w:t>
      </w:r>
    </w:p>
    <w:tbl>
      <w:tblPr>
        <w:tblW w:w="6977" w:type="dxa"/>
        <w:jc w:val="left"/>
        <w:tblInd w:w="0" w:type="dxa"/>
        <w:tblLayout w:type="fixed"/>
        <w:tblCellMar>
          <w:top w:w="28" w:type="dxa"/>
          <w:left w:w="28" w:type="dxa"/>
          <w:bottom w:w="28" w:type="dxa"/>
          <w:right w:w="28" w:type="dxa"/>
        </w:tblCellMar>
      </w:tblPr>
      <w:tblGrid>
        <w:gridCol w:w="5686"/>
        <w:gridCol w:w="1291"/>
      </w:tblGrid>
      <w:tr>
        <w:trPr/>
        <w:tc>
          <w:tcPr>
            <w:tcW w:w="568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Domino’s, Inc.</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Domino’s Pizza LLC</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Michigan</w:t>
            </w:r>
          </w:p>
        </w:tc>
      </w:tr>
      <w:tr>
        <w:trPr/>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Domino’s National Advertising Fund Inc.</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Michigan</w:t>
            </w:r>
          </w:p>
        </w:tc>
      </w:tr>
      <w:tr>
        <w:trPr/>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Progressive Food Solutions LLC</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Michigan</w:t>
            </w:r>
          </w:p>
        </w:tc>
      </w:tr>
      <w:tr>
        <w:trPr/>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Domino’s Pizza International LLC</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Domino’s Overseas GP LLC</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Domino’s Overseas LP Inc.</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Domino’s Pizza NS Co.</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Nova Scotia</w:t>
            </w:r>
          </w:p>
        </w:tc>
      </w:tr>
      <w:tr>
        <w:trPr/>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Domino’s SPV Guarantor LLC</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Domino’s Pizza Master Issuer LLC</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Domino’s Progressive Foods Distribution LLC</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Domino’s Pizza Distribution LLC</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Domino’s Pizza EQ LLC</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Domino’s SPV Canadian Holding Company Inc.</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Domino’s Pizza Franchising LLC</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Domino’s Pizza RE LLC</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Domino’s Pizza International Franchising Inc.</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Domino’s Pizza International Franchising of Michigan LLC</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Michigan</w:t>
            </w:r>
          </w:p>
        </w:tc>
      </w:tr>
      <w:tr>
        <w:trPr/>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Domino’s IP Holder LLC</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Georgia;serif" w:hAnsi="Georgia;serif"/>
          <w:color w:val="000000"/>
          <w:sz w:val="20"/>
        </w:rPr>
      </w:pPr>
      <w:bookmarkStart w:id="40" w:name="dpz-ex23_1.htm"/>
      <w:bookmarkStart w:id="41" w:name="ksdpzex23_1"/>
      <w:bookmarkEnd w:id="40"/>
      <w:bookmarkEnd w:id="41"/>
      <w:r>
        <w:rPr>
          <w:rFonts w:ascii="Georgia;serif" w:hAnsi="Georgia;serif"/>
          <w:color w:val="000000"/>
          <w:sz w:val="20"/>
        </w:rPr>
        <w:t>Exhibit 23.1</w:t>
      </w:r>
      <w:r>
        <w:br w:type="page"/>
      </w:r>
    </w:p>
    <w:p>
      <w:pPr>
        <w:pStyle w:val="TextBody"/>
        <w:bidi w:val="0"/>
        <w:spacing w:before="480" w:after="480"/>
        <w:jc w:val="center"/>
        <w:rPr>
          <w:rFonts w:ascii="Georgia;serif" w:hAnsi="Georgia;serif"/>
          <w:color w:val="000000"/>
          <w:sz w:val="20"/>
        </w:rPr>
      </w:pPr>
      <w:r>
        <w:rPr>
          <w:rFonts w:ascii="Georgia;serif" w:hAnsi="Georgia;serif"/>
          <w:color w:val="000000"/>
          <w:sz w:val="20"/>
        </w:rPr>
        <w:t>CONSENT OF INDEPENDENT REGISTERED PUBLIC ACCOUNTING FIRM</w:t>
      </w:r>
    </w:p>
    <w:p>
      <w:pPr>
        <w:pStyle w:val="TextBody"/>
        <w:bidi w:val="0"/>
        <w:spacing w:before="0" w:after="120"/>
        <w:jc w:val="left"/>
        <w:rPr>
          <w:rFonts w:ascii="Times New Roman" w:hAnsi="Times New Roman"/>
          <w:sz w:val="20"/>
        </w:rPr>
      </w:pPr>
      <w:r>
        <w:rPr>
          <w:rFonts w:ascii="Georgia;serif" w:hAnsi="Georgia;serif"/>
          <w:color w:val="000000"/>
          <w:sz w:val="20"/>
        </w:rPr>
        <w:t>We hereby consent to the incorporation by reference in the Registration Statements on Form</w:t>
      </w:r>
      <w:r>
        <w:rPr>
          <w:rFonts w:ascii="Times New Roman" w:hAnsi="Times New Roman"/>
          <w:color w:val="FF0000"/>
          <w:sz w:val="20"/>
        </w:rPr>
        <w:t xml:space="preserve"> </w:t>
      </w:r>
      <w:r>
        <w:rPr>
          <w:rFonts w:ascii="Georgia;serif" w:hAnsi="Georgia;serif"/>
          <w:color w:val="000000"/>
          <w:sz w:val="20"/>
        </w:rPr>
        <w:t>S-8 (</w:t>
      </w:r>
      <w:r>
        <w:rPr>
          <w:rFonts w:ascii="Georgia;serif" w:hAnsi="Georgia;serif"/>
          <w:color w:val="000000"/>
          <w:sz w:val="22"/>
        </w:rPr>
        <w:t>Nos. 333-118486, 333-121923, 333-161972, and 333-174542</w:t>
      </w:r>
      <w:r>
        <w:rPr>
          <w:rFonts w:ascii="Georgia;serif" w:hAnsi="Georgia;serif"/>
          <w:color w:val="000000"/>
          <w:sz w:val="20"/>
        </w:rPr>
        <w:t>) of Domino’s Pizza, Inc. of our report dated February 23, 2026 relating to the financial statements, financial statement schedule</w:t>
      </w:r>
      <w:r>
        <w:rPr>
          <w:rFonts w:ascii="Times New Roman" w:hAnsi="Times New Roman"/>
          <w:color w:val="000000"/>
          <w:sz w:val="20"/>
        </w:rPr>
        <w:t xml:space="preserve"> </w:t>
      </w:r>
      <w:r>
        <w:rPr>
          <w:rFonts w:ascii="Georgia;serif" w:hAnsi="Georgia;serif"/>
          <w:color w:val="000000"/>
          <w:sz w:val="20"/>
        </w:rPr>
        <w:t>and the effectiveness of internal control over financial reporting, which appears in this Form 10-K.</w:t>
      </w:r>
    </w:p>
    <w:p>
      <w:pPr>
        <w:pStyle w:val="TextBody"/>
        <w:bidi w:val="0"/>
        <w:jc w:val="left"/>
        <w:rPr/>
      </w:pPr>
      <w:r>
        <w:rPr/>
        <w:t> </w:t>
      </w:r>
    </w:p>
    <w:p>
      <w:pPr>
        <w:pStyle w:val="TextBody"/>
        <w:bidi w:val="0"/>
        <w:jc w:val="left"/>
        <w:rPr/>
      </w:pPr>
      <w:r>
        <w:rPr/>
        <w:t> </w:t>
      </w:r>
    </w:p>
    <w:p>
      <w:pPr>
        <w:pStyle w:val="TextBody"/>
        <w:bidi w:val="0"/>
        <w:jc w:val="left"/>
        <w:rPr>
          <w:rFonts w:ascii="Georgia;serif" w:hAnsi="Georgia;serif"/>
          <w:color w:val="000000"/>
          <w:sz w:val="20"/>
        </w:rPr>
      </w:pPr>
      <w:r>
        <w:rPr>
          <w:rFonts w:ascii="Georgia;serif" w:hAnsi="Georgia;serif"/>
          <w:color w:val="000000"/>
          <w:sz w:val="20"/>
        </w:rPr>
        <w:t>/s/ PricewaterhouseCoopers LLP</w:t>
      </w:r>
    </w:p>
    <w:p>
      <w:pPr>
        <w:pStyle w:val="TextBody"/>
        <w:bidi w:val="0"/>
        <w:jc w:val="left"/>
        <w:rPr>
          <w:rFonts w:ascii="Georgia;serif" w:hAnsi="Georgia;serif"/>
          <w:color w:val="000000"/>
          <w:sz w:val="20"/>
        </w:rPr>
      </w:pPr>
      <w:r>
        <w:rPr>
          <w:rFonts w:ascii="Georgia;serif" w:hAnsi="Georgia;serif"/>
          <w:color w:val="000000"/>
          <w:sz w:val="20"/>
        </w:rPr>
        <w:t>Detroit, Michigan</w:t>
      </w:r>
    </w:p>
    <w:p>
      <w:pPr>
        <w:pStyle w:val="TextBody"/>
        <w:bidi w:val="0"/>
        <w:jc w:val="left"/>
        <w:rPr>
          <w:rFonts w:ascii="Georgia;serif" w:hAnsi="Georgia;serif"/>
          <w:color w:val="000000"/>
          <w:sz w:val="20"/>
        </w:rPr>
      </w:pPr>
      <w:r>
        <w:rPr>
          <w:rFonts w:ascii="Georgia;serif" w:hAnsi="Georgia;serif"/>
          <w:color w:val="000000"/>
          <w:sz w:val="20"/>
        </w:rPr>
        <w:t>February 23,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2" w:name="dpz-ex31_1.htm"/>
      <w:bookmarkStart w:id="43" w:name="ksdpzex31_1"/>
      <w:bookmarkEnd w:id="42"/>
      <w:bookmarkEnd w:id="43"/>
      <w:r>
        <w:rPr/>
        <w:t> </w:t>
      </w:r>
      <w:r>
        <w:br w:type="page"/>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CERTIFICATION OF CHIEF EXECUTIVE OFFICER, DOMINO’S PIZZA, INC.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 Russell J. Weiner, certify that: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 have reviewed this annual report on Form 10-K of Domino’s Pizza, Inc.;</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3823" w:type="dxa"/>
        <w:jc w:val="left"/>
        <w:tblInd w:w="0" w:type="dxa"/>
        <w:tblLayout w:type="fixed"/>
        <w:tblCellMar>
          <w:top w:w="28" w:type="dxa"/>
          <w:left w:w="28" w:type="dxa"/>
          <w:bottom w:w="28" w:type="dxa"/>
          <w:right w:w="28" w:type="dxa"/>
        </w:tblCellMar>
      </w:tblPr>
      <w:tblGrid>
        <w:gridCol w:w="1606"/>
        <w:gridCol w:w="146"/>
        <w:gridCol w:w="207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6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23,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Russell J. Weiner</w:t>
            </w:r>
          </w:p>
        </w:tc>
      </w:tr>
      <w:tr>
        <w:trPr/>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Russell J. Weiner</w:t>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4" w:name="dpz-ex31_2.htm"/>
      <w:bookmarkStart w:id="45" w:name="ksdpzex31_2"/>
      <w:bookmarkEnd w:id="44"/>
      <w:bookmarkEnd w:id="45"/>
      <w:r>
        <w:rPr/>
        <w:t> </w:t>
      </w:r>
      <w:r>
        <w:br w:type="page"/>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CERTIFICATION OF CHIEF FINANCIAL OFFICER, DOMINO’S PIZZA, INC.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 Sandeep Reddy, certify that: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 have reviewed this annual report on Form 10-K of Domino’s Pizza, Inc.;</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3763" w:type="dxa"/>
        <w:jc w:val="left"/>
        <w:tblInd w:w="0" w:type="dxa"/>
        <w:tblLayout w:type="fixed"/>
        <w:tblCellMar>
          <w:top w:w="28" w:type="dxa"/>
          <w:left w:w="28" w:type="dxa"/>
          <w:bottom w:w="28" w:type="dxa"/>
          <w:right w:w="28" w:type="dxa"/>
        </w:tblCellMar>
      </w:tblPr>
      <w:tblGrid>
        <w:gridCol w:w="1606"/>
        <w:gridCol w:w="146"/>
        <w:gridCol w:w="201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6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23,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Sandeep Reddy</w:t>
            </w:r>
          </w:p>
        </w:tc>
      </w:tr>
      <w:tr>
        <w:trPr/>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Sandeep Reddy</w:t>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6" w:name="dpz-ex32_1.htm"/>
      <w:bookmarkStart w:id="47" w:name="ksdpzex32_1"/>
      <w:bookmarkEnd w:id="46"/>
      <w:bookmarkEnd w:id="47"/>
      <w:r>
        <w:rPr/>
        <w:t> </w:t>
      </w:r>
      <w:r>
        <w:br w:type="page"/>
      </w:r>
    </w:p>
    <w:p>
      <w:pPr>
        <w:pStyle w:val="TextBody"/>
        <w:bidi w:val="0"/>
        <w:jc w:val="right"/>
        <w:rPr/>
      </w:pPr>
      <w:r>
        <w:rPr/>
        <w:t> </w:t>
      </w:r>
    </w:p>
    <w:p>
      <w:pPr>
        <w:pStyle w:val="TextBody"/>
        <w:bidi w:val="0"/>
        <w:jc w:val="right"/>
        <w:rPr>
          <w:rFonts w:ascii="Times New Roman" w:hAnsi="Times New Roman"/>
          <w:b/>
          <w:color w:val="000000"/>
          <w:sz w:val="24"/>
        </w:rPr>
      </w:pPr>
      <w:r>
        <w:rPr>
          <w:rFonts w:ascii="Times New Roman" w:hAnsi="Times New Roman"/>
          <w:b/>
          <w:color w:val="000000"/>
          <w:sz w:val="24"/>
        </w:rPr>
        <w:t>Exhibit 32.1</w:t>
      </w:r>
    </w:p>
    <w:p>
      <w:pPr>
        <w:pStyle w:val="TextBody"/>
        <w:bidi w:val="0"/>
        <w:jc w:val="center"/>
        <w:rPr>
          <w:rFonts w:ascii="Times New Roman" w:hAnsi="Times New Roman"/>
          <w:sz w:val="20"/>
        </w:rPr>
      </w:pPr>
      <w:r>
        <w:rPr>
          <w:rFonts w:ascii="Times New Roman" w:hAnsi="Times New Roman"/>
          <w:b/>
          <w:color w:val="000000"/>
          <w:sz w:val="24"/>
        </w:rPr>
        <w:t>CERTIFICATION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18 U.S.C. SECTION 1350</w:t>
      </w:r>
    </w:p>
    <w:p>
      <w:pPr>
        <w:pStyle w:val="TextBody"/>
        <w:bidi w:val="0"/>
        <w:jc w:val="center"/>
        <w:rPr>
          <w:rFonts w:ascii="Times New Roman" w:hAnsi="Times New Roman"/>
          <w:sz w:val="20"/>
        </w:rPr>
      </w:pPr>
      <w:r>
        <w:rPr>
          <w:rFonts w:ascii="Times New Roman" w:hAnsi="Times New Roman"/>
          <w:b/>
          <w:color w:val="000000"/>
          <w:sz w:val="24"/>
        </w:rPr>
        <w:t>AS ADOPTED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SECTION 906 OF THE SARBANES-OXLEY ACT OF 2002</w:t>
      </w:r>
    </w:p>
    <w:p>
      <w:pPr>
        <w:pStyle w:val="TextBody"/>
        <w:bidi w:val="0"/>
        <w:jc w:val="center"/>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In connection with the Annual Report of Domino’s Pizza, Inc. (the “Company”) on Form 10-K for the period ended</w:t>
      </w:r>
      <w:r>
        <w:rPr>
          <w:rFonts w:ascii="Times New Roman" w:hAnsi="Times New Roman"/>
          <w:color w:val="FF0000"/>
          <w:sz w:val="20"/>
        </w:rPr>
        <w:t xml:space="preserve"> </w:t>
      </w:r>
      <w:r>
        <w:rPr>
          <w:rFonts w:ascii="Times New Roman" w:hAnsi="Times New Roman"/>
          <w:color w:val="000000"/>
          <w:sz w:val="24"/>
        </w:rPr>
        <w:t>December 28, 2025, as filed with the Securities and Exchange Commission on the date hereof (the “Report”), I, Russell J. Weiner, Chief Executive Officer of the Company, certify, pursuant to 18 U.S.C. § 1350, adopted pursuant to §906 of the Sarbanes-Oxley Act of 2002, that based on my knowledge:</w:t>
      </w:r>
    </w:p>
    <w:p>
      <w:pPr>
        <w:pStyle w:val="TextBody"/>
        <w:bidi w:val="0"/>
        <w:jc w:val="both"/>
        <w:rPr/>
      </w:pPr>
      <w:r>
        <w:rPr/>
        <w:t>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rFonts w:ascii="Times New Roman" w:hAnsi="Times New Roman"/>
          <w:color w:val="000000"/>
          <w:sz w:val="24"/>
        </w:rPr>
      </w:pPr>
      <w:r>
        <w:rPr>
          <w:rFonts w:ascii="Times New Roman" w:hAnsi="Times New Roman"/>
          <w:color w:val="000000"/>
          <w:sz w:val="24"/>
        </w:rPr>
        <w:t xml:space="preserve">the Report fully complies with the requirements of Section 13(a) or 15(d) of the Securities Exchange Act of 1934, as amended; and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color w:val="000000"/>
          <w:sz w:val="24"/>
        </w:rPr>
      </w:pPr>
      <w:r>
        <w:rPr>
          <w:rFonts w:ascii="Times New Roman" w:hAnsi="Times New Roman"/>
          <w:color w:val="000000"/>
          <w:sz w:val="24"/>
        </w:rPr>
        <w:t>the information contained in the Report fairly presents, in all material respects, the financial condition and results of operations of the Company.</w:t>
      </w:r>
    </w:p>
    <w:p>
      <w:pPr>
        <w:pStyle w:val="TextBody"/>
        <w:bidi w:val="0"/>
        <w:jc w:val="both"/>
        <w:rPr/>
      </w:pPr>
      <w:r>
        <w:rPr/>
        <w:t> </w:t>
      </w:r>
    </w:p>
    <w:tbl>
      <w:tblPr>
        <w:tblW w:w="4469" w:type="dxa"/>
        <w:jc w:val="left"/>
        <w:tblInd w:w="0" w:type="dxa"/>
        <w:tblLayout w:type="fixed"/>
        <w:tblCellMar>
          <w:top w:w="28" w:type="dxa"/>
          <w:left w:w="28" w:type="dxa"/>
          <w:bottom w:w="28" w:type="dxa"/>
          <w:right w:w="28" w:type="dxa"/>
        </w:tblCellMar>
      </w:tblPr>
      <w:tblGrid>
        <w:gridCol w:w="661"/>
        <w:gridCol w:w="1591"/>
        <w:gridCol w:w="146"/>
        <w:gridCol w:w="2071"/>
      </w:tblGrid>
      <w:tr>
        <w:trPr/>
        <w:tc>
          <w:tcPr>
            <w:tcW w:w="66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Russell J. Weiner</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Russell J. Weiner</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5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23,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8" w:name="dpz-ex32_2.htm"/>
      <w:bookmarkStart w:id="49" w:name="ksdpzex32_2"/>
      <w:bookmarkEnd w:id="48"/>
      <w:bookmarkEnd w:id="49"/>
      <w:r>
        <w:rPr/>
        <w:t> </w:t>
      </w:r>
      <w:r>
        <w:br w:type="page"/>
      </w:r>
    </w:p>
    <w:p>
      <w:pPr>
        <w:pStyle w:val="TextBody"/>
        <w:bidi w:val="0"/>
        <w:jc w:val="right"/>
        <w:rPr/>
      </w:pPr>
      <w:r>
        <w:rPr/>
        <w:t> </w:t>
      </w:r>
    </w:p>
    <w:p>
      <w:pPr>
        <w:pStyle w:val="TextBody"/>
        <w:bidi w:val="0"/>
        <w:jc w:val="right"/>
        <w:rPr>
          <w:rFonts w:ascii="Times New Roman" w:hAnsi="Times New Roman"/>
          <w:b/>
          <w:color w:val="000000"/>
          <w:sz w:val="24"/>
        </w:rPr>
      </w:pPr>
      <w:r>
        <w:rPr>
          <w:rFonts w:ascii="Times New Roman" w:hAnsi="Times New Roman"/>
          <w:b/>
          <w:color w:val="000000"/>
          <w:sz w:val="24"/>
        </w:rPr>
        <w:t>EXHIBIT 32.2</w:t>
      </w:r>
    </w:p>
    <w:p>
      <w:pPr>
        <w:pStyle w:val="TextBody"/>
        <w:bidi w:val="0"/>
        <w:jc w:val="center"/>
        <w:rPr>
          <w:rFonts w:ascii="Times New Roman" w:hAnsi="Times New Roman"/>
          <w:sz w:val="20"/>
        </w:rPr>
      </w:pPr>
      <w:r>
        <w:rPr>
          <w:rFonts w:ascii="Times New Roman" w:hAnsi="Times New Roman"/>
          <w:b/>
          <w:color w:val="000000"/>
          <w:sz w:val="24"/>
        </w:rPr>
        <w:t>CERTIFICATION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18 U.S.C. SECTION 1350</w:t>
      </w:r>
    </w:p>
    <w:p>
      <w:pPr>
        <w:pStyle w:val="TextBody"/>
        <w:bidi w:val="0"/>
        <w:jc w:val="center"/>
        <w:rPr>
          <w:rFonts w:ascii="Times New Roman" w:hAnsi="Times New Roman"/>
          <w:sz w:val="20"/>
        </w:rPr>
      </w:pPr>
      <w:r>
        <w:rPr>
          <w:rFonts w:ascii="Times New Roman" w:hAnsi="Times New Roman"/>
          <w:b/>
          <w:color w:val="000000"/>
          <w:sz w:val="24"/>
        </w:rPr>
        <w:t>AS ADOPTED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SECTION 906 OF THE SARBANES-OXLEY ACT OF 2002</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connection with the Annual Report of Domino’s Pizza, Inc. (the “Company”) on Form 10-K for the period ended December 28, 2025, as filed with the Securities and Exchange Commission on the date hereof (the “Report”), I, Sandeep Reddy, Chief Financial Officer of the Company, certify, pursuant to 18 U.S.C. § 1350, adopted pursuant to §906 of the Sarbanes-Oxley Act of 2002, that based on my knowledge:</w:t>
      </w:r>
    </w:p>
    <w:p>
      <w:pPr>
        <w:pStyle w:val="TextBody"/>
        <w:bidi w:val="0"/>
        <w:jc w:val="both"/>
        <w:rPr/>
      </w:pPr>
      <w:r>
        <w:rPr/>
        <w:t>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rFonts w:ascii="Times New Roman" w:hAnsi="Times New Roman"/>
          <w:color w:val="000000"/>
          <w:sz w:val="24"/>
        </w:rPr>
      </w:pPr>
      <w:r>
        <w:rPr>
          <w:rFonts w:ascii="Times New Roman" w:hAnsi="Times New Roman"/>
          <w:color w:val="000000"/>
          <w:sz w:val="24"/>
        </w:rPr>
        <w:t xml:space="preserve">the Report fully complies with the requirements of Section 13(a) or 15(d) of the Securities Exchange Act of 1934, as amended; and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color w:val="000000"/>
          <w:sz w:val="24"/>
        </w:rPr>
      </w:pPr>
      <w:r>
        <w:rPr>
          <w:rFonts w:ascii="Times New Roman" w:hAnsi="Times New Roman"/>
          <w:color w:val="000000"/>
          <w:sz w:val="24"/>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pPr>
      <w:r>
        <w:rPr/>
        <w:t> </w:t>
      </w:r>
    </w:p>
    <w:tbl>
      <w:tblPr>
        <w:tblW w:w="4409" w:type="dxa"/>
        <w:jc w:val="left"/>
        <w:tblInd w:w="0" w:type="dxa"/>
        <w:tblLayout w:type="fixed"/>
        <w:tblCellMar>
          <w:top w:w="28" w:type="dxa"/>
          <w:left w:w="28" w:type="dxa"/>
          <w:bottom w:w="28" w:type="dxa"/>
          <w:right w:w="28" w:type="dxa"/>
        </w:tblCellMar>
      </w:tblPr>
      <w:tblGrid>
        <w:gridCol w:w="661"/>
        <w:gridCol w:w="1591"/>
        <w:gridCol w:w="146"/>
        <w:gridCol w:w="2011"/>
      </w:tblGrid>
      <w:tr>
        <w:trPr/>
        <w:tc>
          <w:tcPr>
            <w:tcW w:w="66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Sandeep Reddy</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Sandeep Reddy</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5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23,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286681/000119312525096735/d574686dex31.htm" TargetMode="External"/><Relationship Id="rId4" Type="http://schemas.openxmlformats.org/officeDocument/2006/relationships/hyperlink" Target="https://www.sec.gov/Archives/edgar/data/1286681/000119312525096735/d574686dex32.htm" TargetMode="External"/><Relationship Id="rId5" Type="http://schemas.openxmlformats.org/officeDocument/2006/relationships/hyperlink" Target="https://www.sec.gov/Archives/edgar/data/1079458/0000927016-99-001033.txt" TargetMode="External"/><Relationship Id="rId6" Type="http://schemas.openxmlformats.org/officeDocument/2006/relationships/hyperlink" Target="https://www.sec.gov/Archives/edgar/data/1286681/000119312513081957/d466015dex102.htm" TargetMode="External"/><Relationship Id="rId7" Type="http://schemas.openxmlformats.org/officeDocument/2006/relationships/hyperlink" Target="https://www.sec.gov/Archives/edgar/data/1286681/000119312517060262/d350071dex103.htm" TargetMode="External"/><Relationship Id="rId8" Type="http://schemas.openxmlformats.org/officeDocument/2006/relationships/hyperlink" Target="https://www.sec.gov/Archives/edgar/data/1286681/000119312517060262/d350071dex104.htm" TargetMode="External"/><Relationship Id="rId9" Type="http://schemas.openxmlformats.org/officeDocument/2006/relationships/hyperlink" Target="https://www.sec.gov/Archives/edgar/data/1286681/000119312517060262/d350071dex105.htm" TargetMode="External"/><Relationship Id="rId10" Type="http://schemas.openxmlformats.org/officeDocument/2006/relationships/hyperlink" Target="https://www.sec.gov/Archives/edgar/data/1286681/000119312517060262/d350071dex106.htm" TargetMode="External"/><Relationship Id="rId11" Type="http://schemas.openxmlformats.org/officeDocument/2006/relationships/hyperlink" Target="https://www.sec.gov/Archives/edgar/data/1286681/000119312517060262/d350071dex107.htm" TargetMode="External"/><Relationship Id="rId12" Type="http://schemas.openxmlformats.org/officeDocument/2006/relationships/hyperlink" Target="https://www.sec.gov/Archives/edgar/data/1286681/000119312518049576/d531906dex108.htm" TargetMode="External"/><Relationship Id="rId13" Type="http://schemas.openxmlformats.org/officeDocument/2006/relationships/hyperlink" Target="https://www.sec.gov/Archives/edgar/data/1286681/000119312518299738/d632190dex101.htm" TargetMode="External"/><Relationship Id="rId14" Type="http://schemas.openxmlformats.org/officeDocument/2006/relationships/hyperlink" Target="https://www.sec.gov/Archives/edgar/data/1286681/000119312518299738/d632190dex102.htm" TargetMode="External"/><Relationship Id="rId15" Type="http://schemas.openxmlformats.org/officeDocument/2006/relationships/hyperlink" Target="https://www.sec.gov/Archives/edgar/data/1286681/000119312519194379/d774471dex101.htm" TargetMode="External"/><Relationship Id="rId16" Type="http://schemas.openxmlformats.org/officeDocument/2006/relationships/hyperlink" Target="https://www.sec.gov/Archives/edgar/data/1286681/000119312519194379/d774471dex102.htm" TargetMode="External"/><Relationship Id="rId17" Type="http://schemas.openxmlformats.org/officeDocument/2006/relationships/hyperlink" Target="https://www.sec.gov/Archives/edgar/data/1286681/000095017022002426/dpz-ex10_13.htm" TargetMode="External"/><Relationship Id="rId18" Type="http://schemas.openxmlformats.org/officeDocument/2006/relationships/hyperlink" Target="https://www.sec.gov/Archives/edgar/data/1286681/000095017022002426/dpz-ex10_14.htm" TargetMode="External"/><Relationship Id="rId19" Type="http://schemas.openxmlformats.org/officeDocument/2006/relationships/hyperlink" Target="https://www.sec.gov/Archives/edgar/data/1286681/000095017025025223/dpz-ex10_15.htm" TargetMode="External"/><Relationship Id="rId20" Type="http://schemas.openxmlformats.org/officeDocument/2006/relationships/hyperlink" Target="https://www.sec.gov/Archives/edgar/data/1286681/000119312509093037/dex101.htm" TargetMode="External"/><Relationship Id="rId21" Type="http://schemas.openxmlformats.org/officeDocument/2006/relationships/hyperlink" Target="https://www.sec.gov/Archives/edgar/data/1286681/000119312513081957/d466015dex108.htm" TargetMode="External"/><Relationship Id="rId22" Type="http://schemas.openxmlformats.org/officeDocument/2006/relationships/hyperlink" Target="https://www.sec.gov/Archives/edgar/data/1286681/000119312513081957/d466015dex109.htm" TargetMode="External"/><Relationship Id="rId23" Type="http://schemas.openxmlformats.org/officeDocument/2006/relationships/hyperlink" Target="https://www.sec.gov/Archives/edgar/data/1286681/000119312511050979/dex1020.htm" TargetMode="External"/><Relationship Id="rId24" Type="http://schemas.openxmlformats.org/officeDocument/2006/relationships/hyperlink" Target="https://www.sec.gov/Archives/edgar/data/1286681/000095017023015004/dpz-ex10_1.htm" TargetMode="External"/><Relationship Id="rId25" Type="http://schemas.openxmlformats.org/officeDocument/2006/relationships/hyperlink" Target="https://www.sec.gov/Archives/edgar/data/1286681/000119312504102056/dex1032.htm" TargetMode="External"/><Relationship Id="rId26" Type="http://schemas.openxmlformats.org/officeDocument/2006/relationships/hyperlink" Target="https://www.sec.gov/Archives/edgar/data/1286681/000119312521221398/d164949dex101.htm" TargetMode="External"/><Relationship Id="rId27" Type="http://schemas.openxmlformats.org/officeDocument/2006/relationships/hyperlink" Target="https://www.sec.gov/Archives/edgar/data/1286681/000119312521221398/d164949dex102.htm" TargetMode="External"/><Relationship Id="rId28" Type="http://schemas.openxmlformats.org/officeDocument/2006/relationships/hyperlink" Target="https://www.sec.gov/Archives/edgar/data/1286681/000119312521221398/d164949dex103.htm" TargetMode="External"/><Relationship Id="rId29" Type="http://schemas.openxmlformats.org/officeDocument/2006/relationships/hyperlink" Target="https://www.sec.gov/Archives/edgar/data/1286681/000095017021002121/dpz-ex10_1.htm" TargetMode="External"/><Relationship Id="rId30" Type="http://schemas.openxmlformats.org/officeDocument/2006/relationships/hyperlink" Target="https://www.sec.gov/Archives/edgar/data/1286681/000095017022006436/dpz-ex10_6.htm" TargetMode="External"/><Relationship Id="rId31" Type="http://schemas.openxmlformats.org/officeDocument/2006/relationships/hyperlink" Target="https://www.sec.gov/Archives/edgar/data/1286681/000095017022012843/dpz-ex10_1.htm" TargetMode="External"/><Relationship Id="rId32" Type="http://schemas.openxmlformats.org/officeDocument/2006/relationships/hyperlink" Target="https://www.sec.gov/Archives/edgar/data/1286681/000095017022012843/dpz-ex10_2.htm" TargetMode="External"/><Relationship Id="rId33" Type="http://schemas.openxmlformats.org/officeDocument/2006/relationships/hyperlink" Target="https://www.sec.gov/Archives/edgar/data/1286681/000095017023015004/dpz-ex10_2.htm" TargetMode="External"/><Relationship Id="rId34" Type="http://schemas.openxmlformats.org/officeDocument/2006/relationships/hyperlink" Target="https://www.sec.gov/Archives/edgar/data/1286681/000095017023015004/dpz-ex10_3.htm" TargetMode="External"/><Relationship Id="rId35" Type="http://schemas.openxmlformats.org/officeDocument/2006/relationships/hyperlink" Target="https://www.sec.gov/Archives/edgar/data/1286681/000095017023015004/dpz-ex10_4.htm" TargetMode="External"/><Relationship Id="rId36" Type="http://schemas.openxmlformats.org/officeDocument/2006/relationships/hyperlink" Target="https://www.sec.gov/Archives/edgar/data/1286681/000095017023015004/dpz-ex10_5.htm" TargetMode="External"/><Relationship Id="rId37" Type="http://schemas.openxmlformats.org/officeDocument/2006/relationships/hyperlink" Target="https://www.sec.gov/Archives/edgar/data/1286681/000095017023015004/dpz-ex10_6.htm" TargetMode="External"/><Relationship Id="rId38" Type="http://schemas.openxmlformats.org/officeDocument/2006/relationships/hyperlink" Target="https://www.sec.gov/Archives/edgar/data/1286681/000095017023015004/dpz-ex10_7.htm" TargetMode="External"/><Relationship Id="rId39" Type="http://schemas.openxmlformats.org/officeDocument/2006/relationships/hyperlink" Target="https://www.sec.gov/Archives/edgar/data/1286681/000119312522059952/d291533dex101.htm" TargetMode="External"/><Relationship Id="rId40" Type="http://schemas.openxmlformats.org/officeDocument/2006/relationships/hyperlink" Target="https://www.sec.gov/Archives/edgar/data/1286681/000119312522059952/d291533dex103.htm" TargetMode="External"/><Relationship Id="rId41" Type="http://schemas.openxmlformats.org/officeDocument/2006/relationships/hyperlink" Target="https://www.sec.gov/Archives/edgar/data/1286681/000119312518220984/d513733dex101.htm" TargetMode="External"/><Relationship Id="rId42" Type="http://schemas.openxmlformats.org/officeDocument/2006/relationships/hyperlink" Target="https://www.sec.gov/Archives/edgar/data/1286681/000119312519046191/d696297dex1039.htm" TargetMode="External"/><Relationship Id="rId43" Type="http://schemas.openxmlformats.org/officeDocument/2006/relationships/hyperlink" Target="https://www.sec.gov/Archives/edgar/data/1286681/000119312520115907/d914156dex101.htm" TargetMode="External"/><Relationship Id="rId44" Type="http://schemas.openxmlformats.org/officeDocument/2006/relationships/hyperlink" Target="https://www.sec.gov/Archives/edgar/data/1286681/000119312522065165/d312023dex101.htm" TargetMode="External"/><Relationship Id="rId45" Type="http://schemas.openxmlformats.org/officeDocument/2006/relationships/hyperlink" Target="https://www.sec.gov/Archives/edgar/data/1286681/000095017024019725/dpz-ex10_54.htm" TargetMode="External"/><Relationship Id="rId46" Type="http://schemas.openxmlformats.org/officeDocument/2006/relationships/hyperlink" Target="https://www.sec.gov/Archives/edgar/data/1286681/000095017024019725/dpz-ex10_55.htm" TargetMode="External"/><Relationship Id="rId47" Type="http://schemas.openxmlformats.org/officeDocument/2006/relationships/hyperlink" Target="https://www.sec.gov/Archives/edgar/data/1286681/000095017025025223/dpz-ex10_44.htm" TargetMode="External"/><Relationship Id="rId48" Type="http://schemas.openxmlformats.org/officeDocument/2006/relationships/hyperlink" Target="https://www.sec.gov/Archives/edgar/data/1286681/000095017025025223/dpz-ex10_45.htm" TargetMode="External"/><Relationship Id="rId49" Type="http://schemas.openxmlformats.org/officeDocument/2006/relationships/hyperlink" Target="https://www.sec.gov/Archives/edgar/data/1286681/000095017025025223/dpz-ex10_45.htm" TargetMode="External"/><Relationship Id="rId50" Type="http://schemas.openxmlformats.org/officeDocument/2006/relationships/hyperlink" Target="https://www.sec.gov/Archives/edgar/data/1286681/000095017022012843/dpz-ex10_3.htm" TargetMode="External"/><Relationship Id="rId51" Type="http://schemas.openxmlformats.org/officeDocument/2006/relationships/hyperlink" Target="https://www.sec.gov/Archives/edgar/data/1286681/000119312512120642/d318279dex41.htm" TargetMode="External"/><Relationship Id="rId52" Type="http://schemas.openxmlformats.org/officeDocument/2006/relationships/hyperlink" Target="https://www.sec.gov/Archives/edgar/data/1286681/000119312515350900/d51248dex41.htm" TargetMode="External"/><Relationship Id="rId53" Type="http://schemas.openxmlformats.org/officeDocument/2006/relationships/hyperlink" Target="https://www.sec.gov/Archives/edgar/data/1286681/000119312515350900/d51248dex42.htm" TargetMode="External"/><Relationship Id="rId54" Type="http://schemas.openxmlformats.org/officeDocument/2006/relationships/hyperlink" Target="https://www.sec.gov/Archives/edgar/data/1286681/000119312515350900/d51248dex42.htm" TargetMode="External"/><Relationship Id="rId55" Type="http://schemas.openxmlformats.org/officeDocument/2006/relationships/hyperlink" Target="https://www.sec.gov/Archives/edgar/data/1286681/000119312515350900/d51248dex42.htm" TargetMode="External"/><Relationship Id="rId56" Type="http://schemas.openxmlformats.org/officeDocument/2006/relationships/hyperlink" Target="https://www.sec.gov/Archives/edgar/data/1286681/000119312515350900/d51248dex43.htm" TargetMode="External"/><Relationship Id="rId57" Type="http://schemas.openxmlformats.org/officeDocument/2006/relationships/hyperlink" Target="https://www.sec.gov/Archives/edgar/data/1286681/000119312515350900/d51248dex43.htm" TargetMode="External"/><Relationship Id="rId58" Type="http://schemas.openxmlformats.org/officeDocument/2006/relationships/hyperlink" Target="https://www.sec.gov/Archives/edgar/data/1286681/000119312515350900/d51248dex43.htm" TargetMode="External"/><Relationship Id="rId59" Type="http://schemas.openxmlformats.org/officeDocument/2006/relationships/hyperlink" Target="https://www.sec.gov/Archives/edgar/data/1286681/000119312517234418/d428320dex41.htm" TargetMode="External"/><Relationship Id="rId60" Type="http://schemas.openxmlformats.org/officeDocument/2006/relationships/hyperlink" Target="https://www.sec.gov/Archives/edgar/data/1286681/000119312520042675/d796357dex1049.htm" TargetMode="External"/><Relationship Id="rId61" Type="http://schemas.openxmlformats.org/officeDocument/2006/relationships/hyperlink" Target="https://www.sec.gov/Archives/edgar/data/1286681/000119312521121940/d174181dex41.htm" TargetMode="External"/><Relationship Id="rId62" Type="http://schemas.openxmlformats.org/officeDocument/2006/relationships/hyperlink" Target="https://www.sec.gov/Archives/edgar/data/1286681/000095017022002426/dpz-ex10_62.htm" TargetMode="External"/><Relationship Id="rId63" Type="http://schemas.openxmlformats.org/officeDocument/2006/relationships/hyperlink" Target="https://www.sec.gov/Archives/edgar/data/1286681/000095017024113947/dpz-ex10_1.htm" TargetMode="External"/><Relationship Id="rId64" Type="http://schemas.openxmlformats.org/officeDocument/2006/relationships/hyperlink" Target="https://www.sec.gov/Archives/edgar/data/1286681/000119312525198332/d946118dex41.htm" TargetMode="External"/><Relationship Id="rId65" Type="http://schemas.openxmlformats.org/officeDocument/2006/relationships/hyperlink" Target="https://www.sec.gov/Archives/edgar/data/1286681/000119312517234418/d428320dex42.htm" TargetMode="External"/><Relationship Id="rId66" Type="http://schemas.openxmlformats.org/officeDocument/2006/relationships/hyperlink" Target="https://www.sec.gov/Archives/edgar/data/1286681/000119312518131454/d538225dex41.htm" TargetMode="External"/><Relationship Id="rId67" Type="http://schemas.openxmlformats.org/officeDocument/2006/relationships/hyperlink" Target="https://www.sec.gov/Archives/edgar/data/1286681/000119312519295552/d806337dex41.htm" TargetMode="External"/><Relationship Id="rId68" Type="http://schemas.openxmlformats.org/officeDocument/2006/relationships/hyperlink" Target="https://www.sec.gov/Archives/edgar/data/1286681/000119312521121940/d174181dex42.htm" TargetMode="External"/><Relationship Id="rId69" Type="http://schemas.openxmlformats.org/officeDocument/2006/relationships/hyperlink" Target="https://www.sec.gov/Archives/edgar/data/1286681/000119312525198332/d946118dex42.htm" TargetMode="External"/><Relationship Id="rId70" Type="http://schemas.openxmlformats.org/officeDocument/2006/relationships/hyperlink" Target="https://www.sec.gov/Archives/edgar/data/1286681/000119312517202942/d382329dex101.htm" TargetMode="External"/><Relationship Id="rId71" Type="http://schemas.openxmlformats.org/officeDocument/2006/relationships/hyperlink" Target="https://www.sec.gov/Archives/edgar/data/1286681/000119312518131454/d538225dex11.htm" TargetMode="External"/><Relationship Id="rId72" Type="http://schemas.openxmlformats.org/officeDocument/2006/relationships/hyperlink" Target="https://www.sec.gov/Archives/edgar/data/1286681/000119312519286123/d829654dex991.htm" TargetMode="External"/><Relationship Id="rId73" Type="http://schemas.openxmlformats.org/officeDocument/2006/relationships/hyperlink" Target="https://www.sec.gov/Archives/edgar/data/1286681/000119312521110986/d148163dex991.htm" TargetMode="External"/><Relationship Id="rId74" Type="http://schemas.openxmlformats.org/officeDocument/2006/relationships/hyperlink" Target="https://www.sec.gov/Archives/edgar/data/1286681/000119312521110986/d148163dex991.htm" TargetMode="External"/><Relationship Id="rId75" Type="http://schemas.openxmlformats.org/officeDocument/2006/relationships/hyperlink" Target="https://www.sec.gov/Archives/edgar/data/1286681/000119312525179392/d20565dex991.htm" TargetMode="External"/><Relationship Id="rId76" Type="http://schemas.openxmlformats.org/officeDocument/2006/relationships/hyperlink" Target="https://www.sec.gov/Archives/edgar/data/1286681/000119312525198332/d946118dex101.htm" TargetMode="External"/><Relationship Id="rId77" Type="http://schemas.openxmlformats.org/officeDocument/2006/relationships/hyperlink" Target="https://www.sec.gov/Archives/edgar/data/1286681/000119312525198332/d946118dex103.htm" TargetMode="External"/><Relationship Id="rId78" Type="http://schemas.openxmlformats.org/officeDocument/2006/relationships/hyperlink" Target="https://www.sec.gov/Archives/edgar/data/1286681/000119312525198332/d946118dex104.htm" TargetMode="External"/><Relationship Id="rId79" Type="http://schemas.openxmlformats.org/officeDocument/2006/relationships/hyperlink" Target="https://www.sec.gov/Archives/edgar/data/1286681/000119312525198332/d946118dex102.htm" TargetMode="External"/><Relationship Id="rId80" Type="http://schemas.openxmlformats.org/officeDocument/2006/relationships/hyperlink" Target="https://www.sec.gov/Archives/edgar/data/1286681/000119312525198332/d946118dex102.htm" TargetMode="External"/><Relationship Id="rId81" Type="http://schemas.openxmlformats.org/officeDocument/2006/relationships/hyperlink" Target="https://www.sec.gov/Archives/edgar/data/1286681/000119312525198332/d946118dex102.htm" TargetMode="External"/><Relationship Id="rId82" Type="http://schemas.openxmlformats.org/officeDocument/2006/relationships/hyperlink" Target="https://www.sec.gov/Archives/edgar/data/1286681/000095017024019725/dpz-ex97_1.htm" TargetMode="External"/><Relationship Id="rId83" Type="http://schemas.openxmlformats.org/officeDocument/2006/relationships/fontTable" Target="fontTable.xml"/><Relationship Id="rId8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70198</Words>
  <Characters>388475</Characters>
  <CharactersWithSpaces>460760</CharactersWithSpaces>
  <Paragraphs>11239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