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Domino’s Pizza,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544"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5360" w:type="dxa"/>
            <w:vAlign w:val="bottom"/>
          </w:tcPr>
          <w:p>
            <w:pPr>
              <w:jc w:val="center"/>
              <w:ind w:right="2439"/>
              <w:spacing w:after="0"/>
              <w:rPr>
                <w:sz w:val="20"/>
                <w:szCs w:val="20"/>
                <w:color w:val="auto"/>
              </w:rPr>
            </w:pPr>
            <w:r>
              <w:rPr>
                <w:rFonts w:ascii="Arial" w:cs="Arial" w:eastAsia="Arial" w:hAnsi="Arial"/>
                <w:sz w:val="18"/>
                <w:szCs w:val="18"/>
                <w:b w:val="1"/>
                <w:bCs w:val="1"/>
                <w:color w:val="auto"/>
                <w:w w:val="91"/>
              </w:rPr>
              <w:t>Delaware</w:t>
            </w:r>
          </w:p>
        </w:tc>
      </w:tr>
      <w:tr>
        <w:trPr>
          <w:trHeight w:val="186"/>
        </w:trPr>
        <w:tc>
          <w:tcPr>
            <w:tcW w:w="2540" w:type="dxa"/>
            <w:vAlign w:val="bottom"/>
          </w:tcPr>
          <w:p>
            <w:pPr>
              <w:spacing w:after="0"/>
              <w:rPr>
                <w:sz w:val="16"/>
                <w:szCs w:val="16"/>
                <w:color w:val="auto"/>
              </w:rPr>
            </w:pPr>
          </w:p>
        </w:tc>
        <w:tc>
          <w:tcPr>
            <w:tcW w:w="5360" w:type="dxa"/>
            <w:vAlign w:val="bottom"/>
          </w:tcPr>
          <w:p>
            <w:pPr>
              <w:jc w:val="center"/>
              <w:ind w:right="2439"/>
              <w:spacing w:after="0"/>
              <w:rPr>
                <w:sz w:val="20"/>
                <w:szCs w:val="20"/>
                <w:color w:val="auto"/>
              </w:rPr>
            </w:pPr>
            <w:r>
              <w:rPr>
                <w:rFonts w:ascii="Arial" w:cs="Arial" w:eastAsia="Arial" w:hAnsi="Arial"/>
                <w:sz w:val="14"/>
                <w:szCs w:val="14"/>
                <w:b w:val="1"/>
                <w:bCs w:val="1"/>
                <w:color w:val="auto"/>
                <w:w w:val="93"/>
              </w:rPr>
              <w:t>(State or other jurisdiction of incorporation)</w:t>
            </w:r>
          </w:p>
        </w:tc>
      </w:tr>
      <w:tr>
        <w:trPr>
          <w:trHeight w:val="394"/>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0"/>
              </w:rPr>
              <w:t>001-32242</w:t>
            </w:r>
          </w:p>
        </w:tc>
        <w:tc>
          <w:tcPr>
            <w:tcW w:w="5360" w:type="dxa"/>
            <w:vAlign w:val="bottom"/>
          </w:tcPr>
          <w:p>
            <w:pPr>
              <w:jc w:val="right"/>
              <w:ind w:right="599"/>
              <w:spacing w:after="0"/>
              <w:rPr>
                <w:sz w:val="20"/>
                <w:szCs w:val="20"/>
                <w:color w:val="auto"/>
              </w:rPr>
            </w:pPr>
            <w:r>
              <w:rPr>
                <w:rFonts w:ascii="Arial" w:cs="Arial" w:eastAsia="Arial" w:hAnsi="Arial"/>
                <w:sz w:val="18"/>
                <w:szCs w:val="18"/>
                <w:b w:val="1"/>
                <w:bCs w:val="1"/>
                <w:color w:val="auto"/>
              </w:rPr>
              <w:t>38-2511577</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5360" w:type="dxa"/>
            <w:vAlign w:val="bottom"/>
          </w:tcPr>
          <w:p>
            <w:pPr>
              <w:jc w:val="center"/>
              <w:ind w:left="307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5"/>
              </w:rPr>
              <w:t>30 Frank Lloyd Wright Drive</w:t>
            </w:r>
          </w:p>
        </w:tc>
        <w:tc>
          <w:tcPr>
            <w:tcW w:w="5360" w:type="dxa"/>
            <w:vAlign w:val="bottom"/>
          </w:tcPr>
          <w:p>
            <w:pPr>
              <w:spacing w:after="0"/>
              <w:rPr>
                <w:sz w:val="24"/>
                <w:szCs w:val="24"/>
                <w:color w:val="auto"/>
              </w:rPr>
            </w:pPr>
          </w:p>
        </w:tc>
      </w:tr>
      <w:tr>
        <w:trPr>
          <w:trHeight w:val="225"/>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3"/>
              </w:rPr>
              <w:t>Ann Arbor, Michigan</w:t>
            </w:r>
          </w:p>
        </w:tc>
        <w:tc>
          <w:tcPr>
            <w:tcW w:w="5360" w:type="dxa"/>
            <w:vAlign w:val="bottom"/>
          </w:tcPr>
          <w:p>
            <w:pPr>
              <w:jc w:val="right"/>
              <w:ind w:right="799"/>
              <w:spacing w:after="0"/>
              <w:rPr>
                <w:sz w:val="20"/>
                <w:szCs w:val="20"/>
                <w:color w:val="auto"/>
              </w:rPr>
            </w:pPr>
            <w:r>
              <w:rPr>
                <w:rFonts w:ascii="Arial" w:cs="Arial" w:eastAsia="Arial" w:hAnsi="Arial"/>
                <w:sz w:val="18"/>
                <w:szCs w:val="18"/>
                <w:b w:val="1"/>
                <w:bCs w:val="1"/>
                <w:color w:val="auto"/>
              </w:rPr>
              <w:t>48105</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60" w:type="dxa"/>
            <w:vAlign w:val="bottom"/>
          </w:tcPr>
          <w:p>
            <w:pPr>
              <w:jc w:val="center"/>
              <w:ind w:left="3079"/>
              <w:spacing w:after="0"/>
              <w:rPr>
                <w:sz w:val="20"/>
                <w:szCs w:val="20"/>
                <w:color w:val="auto"/>
              </w:rPr>
            </w:pPr>
            <w:r>
              <w:rPr>
                <w:rFonts w:ascii="Arial" w:cs="Arial" w:eastAsia="Arial" w:hAnsi="Arial"/>
                <w:sz w:val="14"/>
                <w:szCs w:val="14"/>
                <w:b w:val="1"/>
                <w:bCs w:val="1"/>
                <w:color w:val="auto"/>
                <w:w w:val="98"/>
              </w:rPr>
              <w:t>(Zip Code)</w:t>
            </w:r>
          </w:p>
        </w:tc>
      </w:tr>
    </w:tbl>
    <w:p>
      <w:pPr>
        <w:spacing w:after="0" w:line="31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(734) 930-3030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Domino’s Pizza, Inc. Common Stock, $0.01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DPZ</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On May 19, 2021, Domino’s Pizza, Inc. (the “Company”) announced that Stuart A. Levy, its Executive Vice President and Chief Financial Officer, has resigned from his position with the Company effective May 19, 2021 to pursue opportunities outside of the Company. Mr. Levy’s resignation did not result from any disagreement regarding the Company’s financial reporting or accounting policies, procedures, estimates, or judgments. Mr. Levy has agreed to remain with the Company through August 31, 2021 to serve in an advisory capacity and assist in the transition of his duties. The Company has commenced an executive search for a new Executive Vice President and Chief Financial Officer and has retained a national search firm to assist in the search.</w:t>
      </w:r>
    </w:p>
    <w:p>
      <w:pPr>
        <w:spacing w:after="0" w:line="19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Effective upon Mr. Levy’s resignation and until the Company appoints a successor Executive Vice President and Chief Financial Officer,</w:t>
      </w:r>
    </w:p>
    <w:p>
      <w:pPr>
        <w:spacing w:after="0" w:line="3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Mr. Allison will oversee a newly established Office of the Chief Financial Officer and will serve as the Company’s interim principal financial officer. Mr. Allison’s biographical and other information specified in Item 5.02(c)(2) of Form 8-K has been disclosed by the Company in its Definitive Proxy Statement on Schedule 14A filed with the Securities and Exchange Commission on March 18, 2021, which information is incorporated herein by reference.</w:t>
      </w:r>
    </w:p>
    <w:p>
      <w:pPr>
        <w:spacing w:after="0" w:line="193" w:lineRule="exact"/>
        <w:rPr>
          <w:sz w:val="20"/>
          <w:szCs w:val="20"/>
          <w:color w:val="auto"/>
        </w:rPr>
      </w:pPr>
    </w:p>
    <w:p>
      <w:pPr>
        <w:ind w:right="460" w:firstLine="440"/>
        <w:spacing w:after="0" w:line="291" w:lineRule="auto"/>
        <w:rPr>
          <w:sz w:val="20"/>
          <w:szCs w:val="20"/>
          <w:color w:val="auto"/>
        </w:rPr>
      </w:pPr>
      <w:r>
        <w:rPr>
          <w:rFonts w:ascii="Arial" w:cs="Arial" w:eastAsia="Arial" w:hAnsi="Arial"/>
          <w:sz w:val="16"/>
          <w:szCs w:val="16"/>
          <w:color w:val="auto"/>
        </w:rPr>
        <w:t>Consistent with his employment agreement, the Company and Mr. Levy have entered into a general release pursuant to which Mr. Levy will receive one year of base salary continuation following his departure from the Company on August 31, 2021 and a lump sum payment equal to</w:t>
      </w:r>
    </w:p>
    <w:p>
      <w:pPr>
        <w:ind w:right="240"/>
        <w:spacing w:after="0" w:line="253" w:lineRule="auto"/>
        <w:rPr>
          <w:sz w:val="20"/>
          <w:szCs w:val="20"/>
          <w:color w:val="auto"/>
        </w:rPr>
      </w:pPr>
      <w:r>
        <w:rPr>
          <w:rFonts w:ascii="Arial" w:cs="Arial" w:eastAsia="Arial" w:hAnsi="Arial"/>
          <w:sz w:val="18"/>
          <w:szCs w:val="18"/>
          <w:color w:val="auto"/>
        </w:rPr>
        <w:t>a pro-rated portion of the annual performance cash incentive that would have otherwise been payable to him for fiscal year 2021 under the Domino’s Pizza Senior Executive Annual Incentive Plan (the “AIP”), which will be paid in 2022 if and when such annual performance cash incentive payments are paid to the Company’s then-current participants under the AIP. The Company will also pay COBRA premiums for coverage for Mr. Levy for 12 months if Mr. Levy elects COBRA continuation coverage, which payments will cease upon Mr. Levy’s entitlement to other health insurance without charge.</w:t>
      </w:r>
    </w:p>
    <w:p>
      <w:pPr>
        <w:spacing w:after="0" w:line="33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On May 19, 2021, the Company issued a press release relating to the matters described above in Item 5.02. A copy of the press release is attached as Exhibit 99.1 and is incorporated herein by reference The information in this Item 7.01 of Form 8-K and Exhibit 99.1 attached hereto are being furnished pursuant to Item 7.01 of Form 8-K and therefore shall not be deemed filed for purposes of Section 18 of the Securities Exchange Act of 1934.</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Statements in this report that are not strictly historical in nature constitute “forward-looking statements” within the meaning of the Private Securities Litigation Reform Act of 1995. These statements involve significant risks and uncertainties and you should not place considerable reliance on such statements. Important factors that could cause actual results to differ materially from our expectations are more fully described in our filings with the Securities and Exchange Commission, including under the section headed “Risk Factors” in our Annual Report on Form 10-K for the fiscal year ended January 3, 2021. All forward-looking statements speak only as of the date hereof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hereof, whether as a result of new information, future events or otherwise. You are cautioned not to place undue reliance on the forward-looking statements included herein or that may be made elsewhere from time to time by, or on behalf of, us. All forward-looking statements are qualified in their entirety by this cautionary statement.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78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9"/>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0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0"/>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404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Domino’s Pizza, Inc. press release, dated May 19, 2021.</w:t>
              </w:r>
            </w:hyperlink>
          </w:p>
        </w:tc>
        <w:tc>
          <w:tcPr>
            <w:tcW w:w="3760" w:type="dxa"/>
            <w:vAlign w:val="bottom"/>
          </w:tcPr>
          <w:p>
            <w:pPr>
              <w:spacing w:after="0"/>
              <w:rPr>
                <w:sz w:val="23"/>
                <w:szCs w:val="23"/>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7800" w:type="dxa"/>
            <w:vAlign w:val="bottom"/>
            <w:gridSpan w:val="2"/>
          </w:tcPr>
          <w:p>
            <w:pPr>
              <w:spacing w:after="0"/>
              <w:rPr>
                <w:sz w:val="20"/>
                <w:szCs w:val="20"/>
                <w:color w:val="auto"/>
              </w:rPr>
            </w:pPr>
            <w:r>
              <w:rPr>
                <w:rFonts w:ascii="Arial" w:cs="Arial" w:eastAsia="Arial" w:hAnsi="Arial"/>
                <w:sz w:val="18"/>
                <w:szCs w:val="18"/>
                <w:color w:val="auto"/>
                <w:w w:val="92"/>
              </w:rPr>
              <w:t>The cover page from this Current Report on Form 8-K, formatted in Inline XBRL (included as Exhibit 101).</w:t>
            </w:r>
          </w:p>
        </w:tc>
      </w:tr>
    </w:tbl>
    <w:p>
      <w:pPr>
        <w:sectPr>
          <w:pgSz w:w="11900" w:h="16838" w:orient="portrait"/>
          <w:cols w:equalWidth="0" w:num="1">
            <w:col w:w="11000"/>
          </w:cols>
          <w:pgMar w:left="440" w:top="297" w:right="45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DOMINO’S PIZZA,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S.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Kevin S. Morris</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19, 2021</w:t>
      </w:r>
    </w:p>
    <w:p>
      <w:pPr>
        <w:sectPr>
          <w:pgSz w:w="11900" w:h="16838" w:orient="portrait"/>
          <w:cols w:equalWidth="0" w:num="1">
            <w:col w:w="10600"/>
          </w:cols>
          <w:pgMar w:left="440" w:top="301"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6203950</wp:posOffset>
            </wp:positionH>
            <wp:positionV relativeFrom="paragraph">
              <wp:posOffset>-121920</wp:posOffset>
            </wp:positionV>
            <wp:extent cx="788670"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Tim McIntyre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734-604-1863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Tim.McIntyre@dominos.com</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Announces CFO Transition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ANN ARBOR, Mich., May 19, 2021 </w:t>
      </w:r>
      <w:r>
        <w:rPr>
          <w:rFonts w:ascii="Arial" w:cs="Arial" w:eastAsia="Arial" w:hAnsi="Arial"/>
          <w:sz w:val="18"/>
          <w:szCs w:val="18"/>
          <w:color w:val="auto"/>
        </w:rPr>
        <w:t>–</w:t>
      </w:r>
      <w:r>
        <w:rPr>
          <w:rFonts w:ascii="Arial" w:cs="Arial" w:eastAsia="Arial" w:hAnsi="Arial"/>
          <w:sz w:val="18"/>
          <w:szCs w:val="18"/>
          <w:b w:val="1"/>
          <w:bCs w:val="1"/>
          <w:color w:val="auto"/>
        </w:rPr>
        <w:t xml:space="preserve"> Domino’s Pizza Inc. (NYSE: DPZ)</w:t>
      </w:r>
      <w:r>
        <w:rPr>
          <w:rFonts w:ascii="Arial" w:cs="Arial" w:eastAsia="Arial" w:hAnsi="Arial"/>
          <w:sz w:val="18"/>
          <w:szCs w:val="18"/>
          <w:color w:val="auto"/>
        </w:rPr>
        <w:t>, the largest pizza company in the world based on global retail sales,</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that Stuart A. Levy will be leaving the Company to pursue other opportunities. While he is stepping down from his role as Executive Vice President and Chief Financial Officer effective immediately, Mr. Levy will continue with the Company in an advisory capacity until August 31, 2021 to ensure a smooth transition.</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commenced a search for the next CFO with the assistance of Heidrick &amp; Struggles. Effective immediately, Ritch Allison, Domino’s Chief Executive Officer, will assume oversight of a newly established Office of the CFO comprised of Ryan Goers, Vice President, Finance, Global Financial Planning and Analysis; Juan Jose Joachin, Vice President, Finance Operations; and Jessica L. Parrish Vice President, Corporate Controller and Treasurer until the new CFO is in place.</w:t>
      </w:r>
    </w:p>
    <w:p>
      <w:pPr>
        <w:spacing w:after="0" w:line="18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“At Domino’s, we have a talented and dedicated finance and accounting team – and I have great confidence that we will continue to execute on our financial objectives as we identify a new CFO,” said Mr. Allison. “We continue to focus on providing outstanding food and service to our customers worldwide, as evidenced by robust retail sales growth and another record-setting year of franchisee profitability. The Domino’s brand and value proposition is as strong as it has ever been and we remain confident in our long-term outlook.”</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behalf of everyone at Domino’s, I would like to thank Stu for his contributions, including his leadership throughout the complex challenges of the pandemic,” Mr. Allison continued. “We maintained and built on our financial strength, invested in the capacity required to support the long-term growth of the brand, and delivered significant shareholder value, all while putting our team members and customers first.”</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“Domino’s is in a great position to continue its impressive track record of global growth,” said Mr. Levy. “It’s been a privilege to work with the amazing team members and franchisees who make Domino’s such an iconic brand and I’m confident this will be a smooth transition.”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Mr. Levy’s departure did not result from any disagreement regarding the Company’s financial reporting or accounting policies, procedures, estimates, or judgments.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Domino’s Pizza</w:t>
      </w:r>
      <w:r>
        <w:rPr>
          <w:rFonts w:ascii="Arial" w:cs="Arial" w:eastAsia="Arial" w:hAnsi="Arial"/>
          <w:sz w:val="15"/>
          <w:szCs w:val="15"/>
          <w:b w:val="1"/>
          <w:bCs w:val="1"/>
          <w:color w:val="auto"/>
        </w:rPr>
        <w:t>®</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Founded in 1960, Domino’s Pizza is the largest pizza company in the world based on retail sales, with a significant business in both delivery and carryout pizza. It ranks among the world’s top public restaurant brands with a global enterprise of more than 17,800 stores in over 90 markets. Domino’s had global retail sales of over $16.1 billion in 2020, with nearly $8.3 billion in the U.S. and over $7.8 billion internationally. In the first quarter of 2021, Domino’s had global retail sales of over $4.0 billion, with nearly $2.0 billion in the U.S. and over $2.0 billion internationally. Its system is comprised of independent franchise owners who accounted for 98% of Domino’s stores as of the end of the first quarter of 2021. Emphasis on technology innovation helped</w:t>
      </w:r>
    </w:p>
    <w:p>
      <w:pPr>
        <w:sectPr>
          <w:pgSz w:w="11900" w:h="16838" w:orient="portrait"/>
          <w:cols w:equalWidth="0" w:num="1">
            <w:col w:w="11020"/>
          </w:cols>
          <w:pgMar w:left="440" w:top="121" w:right="439" w:bottom="1440" w:gutter="0" w:footer="0" w:header="0"/>
        </w:sectPr>
      </w:pPr>
    </w:p>
    <w:bookmarkStart w:id="4" w:name="page5"/>
    <w:bookmarkEnd w:id="4"/>
    <w:p>
      <w:pPr>
        <w:ind w:right="3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Domino’s achieve more than half of all global retail sales in 2020 from digital channels. In the U.S., Domino’s generated more than 70% of sales in 2020 via digital channels and has developed several innovative ordering platforms, including those for Google Home, Facebook Messenger, Apple Watch, Amazon Echo, Twitter and more. In 2019, Domino’s announced a partnership with Nuro to further its exploration and testing of autonomous pizza delivery. In mid-2020, Domino’s launched a new way to order contactless carryout nationwide – via Domino’s Carside Delivery</w:t>
      </w:r>
      <w:r>
        <w:rPr>
          <w:rFonts w:ascii="Arial" w:cs="Arial" w:eastAsia="Arial" w:hAnsi="Arial"/>
          <w:sz w:val="15"/>
          <w:szCs w:val="15"/>
          <w:color w:val="auto"/>
        </w:rPr>
        <w:t>®</w:t>
      </w:r>
      <w:r>
        <w:rPr>
          <w:rFonts w:ascii="Arial" w:cs="Arial" w:eastAsia="Arial" w:hAnsi="Arial"/>
          <w:sz w:val="18"/>
          <w:szCs w:val="18"/>
          <w:color w:val="auto"/>
        </w:rPr>
        <w:t>, which customers can choose when placing a prepaid online order.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Order – </w:t>
      </w:r>
      <w:r>
        <w:rPr>
          <w:rFonts w:ascii="Arial" w:cs="Arial" w:eastAsia="Arial" w:hAnsi="Arial"/>
          <w:sz w:val="18"/>
          <w:szCs w:val="18"/>
          <w:u w:val="single" w:color="auto"/>
          <w:color w:val="auto"/>
        </w:rPr>
        <w:t>dominos.com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Company Info – </w:t>
      </w:r>
      <w:r>
        <w:rPr>
          <w:rFonts w:ascii="Arial" w:cs="Arial" w:eastAsia="Arial" w:hAnsi="Arial"/>
          <w:sz w:val="18"/>
          <w:szCs w:val="18"/>
          <w:u w:val="single" w:color="auto"/>
          <w:color w:val="auto"/>
        </w:rPr>
        <w:t>biz.dominos.com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Media Assets – </w:t>
      </w:r>
      <w:r>
        <w:rPr>
          <w:rFonts w:ascii="Arial" w:cs="Arial" w:eastAsia="Arial" w:hAnsi="Arial"/>
          <w:sz w:val="18"/>
          <w:szCs w:val="18"/>
          <w:u w:val="single" w:color="auto"/>
          <w:color w:val="auto"/>
        </w:rPr>
        <w:t>media.dominos.com</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Please visit our Investor Relations website at </w:t>
      </w:r>
      <w:r>
        <w:rPr>
          <w:rFonts w:ascii="Arial" w:cs="Arial" w:eastAsia="Arial" w:hAnsi="Arial"/>
          <w:sz w:val="18"/>
          <w:szCs w:val="18"/>
          <w:u w:val="single" w:color="auto"/>
          <w:color w:val="auto"/>
        </w:rPr>
        <w:t>biz.dominos.com</w:t>
      </w:r>
      <w:r>
        <w:rPr>
          <w:rFonts w:ascii="Arial" w:cs="Arial" w:eastAsia="Arial" w:hAnsi="Arial"/>
          <w:sz w:val="18"/>
          <w:szCs w:val="18"/>
          <w:color w:val="auto"/>
        </w:rPr>
        <w:t xml:space="preserve"> to view news, announcements, earnings releases, investor presentations and conference webcasts.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the growth of our U.S. and international business,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in our filings with the Securities and Exchange Commission, including under the section headed “Risk Factors” in our Annual Report on Form 10-K for the fiscal year ended January 3, 2021.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our ability to manage difficulties associated with or related to the COVID-19 pandemic and the effects of COVID-19 on our business and supply chain; the effectiveness of our advertising, operations and promotional initiatives; the strength of our brand, including our ability to compete in the U.S. and internationally in our intensely competitive industry, including the food service and food delivery markets;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w:t>
      </w:r>
    </w:p>
    <w:p>
      <w:pPr>
        <w:sectPr>
          <w:pgSz w:w="11900" w:h="16838" w:orient="portrait"/>
          <w:cols w:equalWidth="0" w:num="1">
            <w:col w:w="10980"/>
          </w:cols>
          <w:pgMar w:left="440" w:top="274" w:right="479" w:bottom="1440" w:gutter="0" w:footer="0" w:header="0"/>
        </w:sectPr>
      </w:pPr>
    </w:p>
    <w:bookmarkStart w:id="5" w:name="page6"/>
    <w:bookmarkEnd w:id="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our ability and that of our franchisees to open new restaurants and keep existing restaurants in operation; changes in operating expenses resulting from changes in prices of food (particularly cheese), fuel and other commodity costs, labor, utilities, insurance, employee benefits and other operating costs;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consumer protection and social media; adverse legal judgments or settlements; food-borne illness or contamination of products; data breaches, power loss, technological failures, user error or other cyber risks threatening us or our franchisees; the effect of war, terrorism, catastrophic events or climate change; our ability to pay dividends and repurchase shares; changes in consumer tastes, spending and traffic patterns and demographic trends; actions by activist investors; changes in accounting policies; and adequacy of our insurance coverage. In light of these risks, uncertainties and assumptions, the forward-looking events discussed in this press release might not occur. All forward-looking statements speak only as of the date of this press release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press release, whether as a result of new information, future events or otherwise. You are cautioned not to place undue reliance on the forward-looking statements included in this press release or that may be made elsewhere from time to time by, or on behalf of, us. All forward-looking statements attributable to us are expressly qualified by these cautionary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2021-05-19T15:39:46Z</dcterms:created>
  <dcterms:modified xsi:type="dcterms:W3CDTF">2021-05-19T15:39:46Z</dcterms:modified>
</cp:coreProperties>
</file>