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3780" w:right="1600" w:hanging="3772"/>
        <w:spacing w:after="0" w:line="412"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22, 2026</w:t>
      </w:r>
    </w:p>
    <w:p>
      <w:pPr>
        <w:spacing w:after="0" w:line="288"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8"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33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93980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6"/>
          <w:szCs w:val="36"/>
          <w:b w:val="1"/>
          <w:bCs w:val="1"/>
          <w:color w:val="auto"/>
        </w:rPr>
        <w:t>Domino’s Pizza, Inc.</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1520" w:type="dxa"/>
        <w:tblCellMar>
          <w:top w:w="0" w:type="dxa"/>
          <w:left w:w="0" w:type="dxa"/>
          <w:bottom w:w="0" w:type="dxa"/>
          <w:right w:w="0" w:type="dxa"/>
        </w:tblCellMar>
      </w:tblPr>
      <w:tr>
        <w:trPr>
          <w:trHeight w:val="205"/>
        </w:trPr>
        <w:tc>
          <w:tcPr>
            <w:tcW w:w="2980" w:type="dxa"/>
            <w:vAlign w:val="bottom"/>
          </w:tcPr>
          <w:p>
            <w:pPr>
              <w:jc w:val="center"/>
              <w:ind w:right="419"/>
              <w:spacing w:after="0" w:line="205"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7"/>
                <w:szCs w:val="17"/>
                <w:color w:val="auto"/>
              </w:rPr>
            </w:pPr>
          </w:p>
        </w:tc>
        <w:tc>
          <w:tcPr>
            <w:tcW w:w="2300" w:type="dxa"/>
            <w:vAlign w:val="bottom"/>
          </w:tcPr>
          <w:p>
            <w:pPr>
              <w:jc w:val="right"/>
              <w:ind w:right="44"/>
              <w:spacing w:after="0" w:line="205" w:lineRule="exact"/>
              <w:rPr>
                <w:sz w:val="20"/>
                <w:szCs w:val="20"/>
                <w:color w:val="auto"/>
              </w:rPr>
            </w:pPr>
            <w:r>
              <w:rPr>
                <w:rFonts w:ascii="Times New Roman" w:cs="Times New Roman" w:eastAsia="Times New Roman" w:hAnsi="Times New Roman"/>
                <w:sz w:val="18"/>
                <w:szCs w:val="18"/>
                <w:b w:val="1"/>
                <w:bCs w:val="1"/>
                <w:color w:val="auto"/>
              </w:rPr>
              <w:t>38-2511577</w:t>
            </w:r>
          </w:p>
        </w:tc>
      </w:tr>
      <w:tr>
        <w:trPr>
          <w:trHeight w:val="149"/>
        </w:trPr>
        <w:tc>
          <w:tcPr>
            <w:tcW w:w="2980" w:type="dxa"/>
            <w:vAlign w:val="bottom"/>
          </w:tcPr>
          <w:p>
            <w:pPr>
              <w:jc w:val="center"/>
              <w:ind w:right="4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2300" w:type="dxa"/>
            <w:vAlign w:val="bottom"/>
          </w:tcPr>
          <w:p>
            <w:pPr>
              <w:jc w:val="center"/>
              <w:ind w:left="110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64"/>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4"/>
                <w:szCs w:val="14"/>
                <w:color w:val="auto"/>
              </w:rPr>
            </w:pPr>
          </w:p>
        </w:tc>
        <w:tc>
          <w:tcPr>
            <w:tcW w:w="230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2980" w:type="dxa"/>
            <w:vAlign w:val="bottom"/>
          </w:tcPr>
          <w:p>
            <w:pPr>
              <w:jc w:val="center"/>
              <w:ind w:right="419"/>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224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27"/>
        </w:trPr>
        <w:tc>
          <w:tcPr>
            <w:tcW w:w="2980" w:type="dxa"/>
            <w:vAlign w:val="bottom"/>
          </w:tcPr>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4540" w:type="dxa"/>
            <w:vAlign w:val="bottom"/>
            <w:gridSpan w:val="2"/>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90"/>
        </w:trPr>
        <w:tc>
          <w:tcPr>
            <w:tcW w:w="29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300" w:type="dxa"/>
            <w:vAlign w:val="bottom"/>
          </w:tcPr>
          <w:p>
            <w:pPr>
              <w:jc w:val="center"/>
              <w:ind w:left="112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(734) 930-3030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0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20" w:type="dxa"/>
            <w:vAlign w:val="bottom"/>
          </w:tcPr>
          <w:p>
            <w:pPr>
              <w:spacing w:after="0"/>
              <w:rPr>
                <w:sz w:val="18"/>
                <w:szCs w:val="18"/>
                <w:color w:val="auto"/>
              </w:rPr>
            </w:pPr>
          </w:p>
        </w:tc>
        <w:tc>
          <w:tcPr>
            <w:tcW w:w="24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45"/>
        </w:trPr>
        <w:tc>
          <w:tcPr>
            <w:tcW w:w="43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Domino’s Pizza, Inc. Common Stock, $0.01 par value</w:t>
            </w:r>
          </w:p>
        </w:tc>
        <w:tc>
          <w:tcPr>
            <w:tcW w:w="400" w:type="dxa"/>
            <w:vAlign w:val="bottom"/>
          </w:tcPr>
          <w:p>
            <w:pPr>
              <w:spacing w:after="0"/>
              <w:rPr>
                <w:sz w:val="24"/>
                <w:szCs w:val="24"/>
                <w:color w:val="auto"/>
              </w:rPr>
            </w:pPr>
          </w:p>
        </w:tc>
        <w:tc>
          <w:tcPr>
            <w:tcW w:w="20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auto"/>
                <w:w w:val="99"/>
              </w:rPr>
              <w:t>DPZ</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90" w:lineRule="exact"/>
        <w:rPr>
          <w:sz w:val="24"/>
          <w:szCs w:val="24"/>
          <w:color w:val="auto"/>
        </w:rPr>
      </w:pPr>
    </w:p>
    <w:p>
      <w:pPr>
        <w:ind w:right="2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57" w:lineRule="exact"/>
        <w:rPr>
          <w:sz w:val="24"/>
          <w:szCs w:val="24"/>
          <w:color w:val="auto"/>
        </w:rPr>
      </w:pPr>
    </w:p>
    <w:p>
      <w:pPr>
        <w:ind w:right="220" w:firstLine="25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left="260" w:right="15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20, 2026, Domino’s Pizza, Inc. had 33,261,870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97" w:right="35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7020" w:type="dxa"/>
            <w:vAlign w:val="bottom"/>
            <w:gridSpan w:val="9"/>
            <w:vMerge w:val="restart"/>
          </w:tcPr>
          <w:p>
            <w:pPr>
              <w:spacing w:after="0"/>
              <w:rPr>
                <w:sz w:val="15"/>
                <w:szCs w:val="15"/>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1040" w:type="dxa"/>
            <w:vAlign w:val="bottom"/>
            <w:vMerge w:val="continue"/>
          </w:tcPr>
          <w:p>
            <w:pPr>
              <w:spacing w:after="0"/>
              <w:rPr>
                <w:sz w:val="14"/>
                <w:szCs w:val="14"/>
                <w:color w:val="auto"/>
              </w:rPr>
            </w:pPr>
          </w:p>
        </w:tc>
        <w:tc>
          <w:tcPr>
            <w:tcW w:w="2400" w:type="dxa"/>
            <w:vAlign w:val="bottom"/>
            <w:tcBorders>
              <w:bottom w:val="single" w:sz="8" w:color="0000EE"/>
            </w:tcBorders>
            <w:gridSpan w:val="13"/>
            <w:vMerge w:val="continue"/>
          </w:tcPr>
          <w:p>
            <w:pPr>
              <w:spacing w:after="0"/>
              <w:rPr>
                <w:sz w:val="14"/>
                <w:szCs w:val="14"/>
                <w:color w:val="auto"/>
              </w:rPr>
            </w:pPr>
          </w:p>
        </w:tc>
        <w:tc>
          <w:tcPr>
            <w:tcW w:w="7020" w:type="dxa"/>
            <w:vAlign w:val="bottom"/>
            <w:gridSpan w:val="9"/>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20" w:type="dxa"/>
            <w:vAlign w:val="bottom"/>
            <w:tcBorders>
              <w:bottom w:val="single" w:sz="8" w:color="0000EE"/>
            </w:tcBorders>
          </w:tcPr>
          <w:p>
            <w:pPr>
              <w:spacing w:after="0"/>
              <w:rPr>
                <w:sz w:val="24"/>
                <w:szCs w:val="24"/>
                <w:color w:val="auto"/>
              </w:rPr>
            </w:pPr>
          </w:p>
        </w:tc>
        <w:tc>
          <w:tcPr>
            <w:tcW w:w="7900" w:type="dxa"/>
            <w:vAlign w:val="bottom"/>
            <w:gridSpan w:val="1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 – As of March 22, 2026 and December 28,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4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(Unaudited) – Fiscal quarters ended March 22, 2026 and March 23,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8700" w:type="dxa"/>
            <w:vAlign w:val="bottom"/>
            <w:tcBorders>
              <w:top w:val="single" w:sz="8" w:color="0000EE"/>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 – Fiscal quarters ended March 22, 2026 and</w:t>
            </w:r>
          </w:p>
        </w:tc>
        <w:tc>
          <w:tcPr>
            <w:tcW w:w="40" w:type="dxa"/>
            <w:vAlign w:val="bottom"/>
            <w:tcBorders>
              <w:bottom w:val="single" w:sz="8" w:color="0000EE"/>
            </w:tcBorders>
          </w:tcPr>
          <w:p>
            <w:pPr>
              <w:spacing w:after="0"/>
              <w:rPr>
                <w:sz w:val="24"/>
                <w:szCs w:val="24"/>
                <w:color w:val="auto"/>
              </w:rPr>
            </w:pPr>
          </w:p>
        </w:tc>
        <w:tc>
          <w:tcPr>
            <w:tcW w:w="68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March 23, 2025</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0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 – Fiscal quarters ended March 22, 2026 and March 23, 2025</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4"/>
                <w:szCs w:val="24"/>
                <w:color w:val="auto"/>
              </w:rPr>
            </w:pP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64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40" w:type="dxa"/>
            <w:vAlign w:val="bottom"/>
            <w:tcBorders>
              <w:top w:val="single" w:sz="8" w:color="0000EE"/>
            </w:tcBorders>
            <w:gridSpan w:val="2"/>
          </w:tcPr>
          <w:p>
            <w:pPr>
              <w:spacing w:after="0"/>
              <w:rPr>
                <w:sz w:val="24"/>
                <w:szCs w:val="24"/>
                <w:color w:val="auto"/>
              </w:rPr>
            </w:pPr>
          </w:p>
        </w:tc>
        <w:tc>
          <w:tcPr>
            <w:tcW w:w="808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EE"/>
            </w:tcBorders>
            <w:gridSpan w:val="2"/>
          </w:tcPr>
          <w:p>
            <w:pPr>
              <w:spacing w:after="0"/>
              <w:rPr>
                <w:sz w:val="24"/>
                <w:szCs w:val="24"/>
                <w:color w:val="auto"/>
              </w:rPr>
            </w:pPr>
          </w:p>
        </w:tc>
        <w:tc>
          <w:tcPr>
            <w:tcW w:w="5080" w:type="dxa"/>
            <w:vAlign w:val="bottom"/>
            <w:gridSpan w:val="8"/>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6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EE"/>
            </w:tcBorders>
            <w:gridSpan w:val="2"/>
          </w:tcPr>
          <w:p>
            <w:pPr>
              <w:spacing w:after="0"/>
              <w:rPr>
                <w:sz w:val="24"/>
                <w:szCs w:val="24"/>
                <w:color w:val="auto"/>
              </w:rPr>
            </w:pPr>
          </w:p>
        </w:tc>
        <w:tc>
          <w:tcPr>
            <w:tcW w:w="812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18"/>
        </w:trPr>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SIGNATURES</w:t>
            </w:r>
          </w:p>
        </w:tc>
        <w:tc>
          <w:tcPr>
            <w:tcW w:w="9280" w:type="dxa"/>
            <w:vAlign w:val="bottom"/>
            <w:gridSpan w:val="2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53"/>
        </w:trPr>
        <w:tc>
          <w:tcPr>
            <w:tcW w:w="1040" w:type="dxa"/>
            <w:vAlign w:val="bottom"/>
          </w:tcPr>
          <w:p>
            <w:pPr>
              <w:spacing w:after="0"/>
              <w:rPr>
                <w:sz w:val="24"/>
                <w:szCs w:val="24"/>
                <w:color w:val="auto"/>
              </w:rPr>
            </w:pPr>
          </w:p>
        </w:tc>
        <w:tc>
          <w:tcPr>
            <w:tcW w:w="4900" w:type="dxa"/>
            <w:vAlign w:val="bottom"/>
            <w:gridSpan w:val="16"/>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5"/>
                <w:szCs w:val="15"/>
                <w:color w:val="auto"/>
              </w:rPr>
            </w:pPr>
          </w:p>
        </w:tc>
        <w:tc>
          <w:tcPr>
            <w:tcW w:w="17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22, 2026</w:t>
            </w:r>
          </w:p>
        </w:tc>
        <w:tc>
          <w:tcPr>
            <w:tcW w:w="220" w:type="dxa"/>
            <w:vAlign w:val="bottom"/>
          </w:tcPr>
          <w:p>
            <w:pPr>
              <w:spacing w:after="0"/>
              <w:rPr>
                <w:sz w:val="15"/>
                <w:szCs w:val="15"/>
                <w:color w:val="auto"/>
              </w:rPr>
            </w:pPr>
          </w:p>
        </w:tc>
        <w:tc>
          <w:tcPr>
            <w:tcW w:w="17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28, 2025</w:t>
            </w: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232,922</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125,675</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183,628</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216,110</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306,098</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315,958</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69,154</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79,189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41,377</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39,767</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115,814</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117,502</w:t>
            </w:r>
          </w:p>
        </w:tc>
      </w:tr>
      <w:tr>
        <w:trPr>
          <w:trHeight w:val="20"/>
        </w:trPr>
        <w:tc>
          <w:tcPr>
            <w:tcW w:w="7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948,993</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894,201</w:t>
            </w:r>
          </w:p>
        </w:tc>
      </w:tr>
      <w:tr>
        <w:trPr>
          <w:trHeight w:val="210"/>
        </w:trPr>
        <w:tc>
          <w:tcPr>
            <w:tcW w:w="7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Land and buildings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171,913</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105,559</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202,801</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193,673</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397,671</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413,303</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28,848</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46,184</w:t>
            </w:r>
          </w:p>
        </w:tc>
      </w:tr>
      <w:tr>
        <w:trPr>
          <w:trHeight w:val="20"/>
        </w:trPr>
        <w:tc>
          <w:tcPr>
            <w:tcW w:w="7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801,233</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758,719</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(414,503)</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(434,697)</w:t>
            </w:r>
          </w:p>
        </w:tc>
      </w:tr>
      <w:tr>
        <w:trPr>
          <w:trHeight w:val="20"/>
        </w:trPr>
        <w:tc>
          <w:tcPr>
            <w:tcW w:w="7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386,730</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324,022</w:t>
            </w:r>
          </w:p>
        </w:tc>
      </w:tr>
      <w:tr>
        <w:trPr>
          <w:trHeight w:val="210"/>
        </w:trPr>
        <w:tc>
          <w:tcPr>
            <w:tcW w:w="7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238,908</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219,485</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10,689</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10,726</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158,768</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159,256</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DPC Dash</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30,080</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36,070</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18,634</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22,101</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51,686</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50,598</w:t>
            </w:r>
          </w:p>
        </w:tc>
      </w:tr>
      <w:tr>
        <w:trPr>
          <w:trHeight w:val="20"/>
        </w:trPr>
        <w:tc>
          <w:tcPr>
            <w:tcW w:w="7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508,765</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498,236</w:t>
            </w:r>
          </w:p>
        </w:tc>
      </w:tr>
      <w:tr>
        <w:trPr>
          <w:trHeight w:val="20"/>
        </w:trPr>
        <w:tc>
          <w:tcPr>
            <w:tcW w:w="7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1,844,488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1,716,459</w:t>
            </w:r>
          </w:p>
        </w:tc>
      </w:tr>
      <w:tr>
        <w:trPr>
          <w:trHeight w:val="20"/>
        </w:trPr>
        <w:tc>
          <w:tcPr>
            <w:tcW w:w="7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3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Liabilities and stockholders’ deficit</w:t>
            </w: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7,411</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6,131</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124,376</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135,029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49,490</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47,553</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26,304</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26,169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68,533</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2,714</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113,449</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115,412</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202,437</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208,613</w:t>
            </w:r>
          </w:p>
        </w:tc>
      </w:tr>
      <w:tr>
        <w:trPr>
          <w:trHeight w:val="20"/>
        </w:trPr>
        <w:tc>
          <w:tcPr>
            <w:tcW w:w="7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592,000</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541,621</w:t>
            </w: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4,876,122</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4,810,683</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202,750</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183,917</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33,614</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32,959</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46,775</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48,421</w:t>
            </w:r>
          </w:p>
        </w:tc>
      </w:tr>
      <w:tr>
        <w:trPr>
          <w:trHeight w:val="20"/>
        </w:trPr>
        <w:tc>
          <w:tcPr>
            <w:tcW w:w="7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5,159,261</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5,075,980</w:t>
            </w: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1,910</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deficit</w:t>
            </w:r>
          </w:p>
        </w:tc>
        <w:tc>
          <w:tcPr>
            <w:tcW w:w="2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(3,902,172)</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(3,898,622)</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(5,097)</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(4,766)</w:t>
            </w:r>
          </w:p>
        </w:tc>
      </w:tr>
      <w:tr>
        <w:trPr>
          <w:trHeight w:val="20"/>
        </w:trPr>
        <w:tc>
          <w:tcPr>
            <w:tcW w:w="7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(3,906,773)</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(3,901,142)</w:t>
            </w:r>
          </w:p>
        </w:tc>
      </w:tr>
      <w:tr>
        <w:trPr>
          <w:trHeight w:val="20"/>
        </w:trPr>
        <w:tc>
          <w:tcPr>
            <w:tcW w:w="7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1,844,488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1,716,459</w:t>
            </w:r>
          </w:p>
        </w:tc>
      </w:tr>
      <w:tr>
        <w:trPr>
          <w:trHeight w:val="20"/>
        </w:trPr>
        <w:tc>
          <w:tcPr>
            <w:tcW w:w="7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-5640070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-5640070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-4516755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-3402330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-1996440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-1156335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-316865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17"/>
        </w:trPr>
        <w:tc>
          <w:tcPr>
            <w:tcW w:w="5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March 22,</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392"/>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100" w:type="dxa"/>
            <w:vAlign w:val="bottom"/>
          </w:tcPr>
          <w:p>
            <w:pPr>
              <w:spacing w:after="0"/>
              <w:rPr>
                <w:sz w:val="10"/>
                <w:szCs w:val="10"/>
                <w:color w:val="auto"/>
              </w:rPr>
            </w:pPr>
          </w:p>
        </w:tc>
      </w:t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Company-owned stores</w:t>
            </w:r>
          </w:p>
        </w:tc>
        <w:tc>
          <w:tcPr>
            <w:tcW w:w="2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82,098</w:t>
            </w:r>
          </w:p>
        </w:tc>
        <w:tc>
          <w:tcPr>
            <w:tcW w:w="1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91,598</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Supply chain</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669,924</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75,559</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100" w:type="dxa"/>
            <w:vAlign w:val="bottom"/>
          </w:tcPr>
          <w:p>
            <w:pPr>
              <w:spacing w:after="0"/>
              <w:rPr>
                <w:sz w:val="18"/>
                <w:szCs w:val="18"/>
                <w:color w:val="auto"/>
              </w:rPr>
            </w:pPr>
          </w:p>
        </w:tc>
      </w:tr>
      <w:tr>
        <w:trPr>
          <w:trHeight w:val="209"/>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1,150,594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 Company-owned stores</w:t>
            </w:r>
          </w:p>
        </w:tc>
        <w:tc>
          <w:tcPr>
            <w:tcW w:w="2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76,911</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Supply chain</w:t>
            </w:r>
          </w:p>
        </w:tc>
        <w:tc>
          <w:tcPr>
            <w:tcW w:w="2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591,998</w:t>
            </w:r>
          </w:p>
        </w:tc>
        <w:tc>
          <w:tcPr>
            <w:tcW w:w="100" w:type="dxa"/>
            <w:vAlign w:val="bottom"/>
          </w:tcPr>
          <w:p>
            <w:pPr>
              <w:spacing w:after="0"/>
              <w:rPr>
                <w:sz w:val="18"/>
                <w:szCs w:val="18"/>
                <w:color w:val="auto"/>
              </w:rPr>
            </w:pPr>
          </w:p>
        </w:tc>
      </w:tr>
      <w:tr>
        <w:trPr>
          <w:trHeight w:val="209"/>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2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686,082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668,909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443,147</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109,077</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(7,780)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210,095</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(5,990)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(46,227)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(45,585)</w:t>
            </w:r>
          </w:p>
        </w:tc>
      </w:tr>
      <w:tr>
        <w:trPr>
          <w:trHeight w:val="210"/>
        </w:trPr>
        <w:tc>
          <w:tcPr>
            <w:tcW w:w="5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3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180,642</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192,482</w:t>
            </w:r>
          </w:p>
        </w:tc>
        <w:tc>
          <w:tcPr>
            <w:tcW w:w="100" w:type="dxa"/>
            <w:vAlign w:val="bottom"/>
            <w:tcBorders>
              <w:top w:val="single" w:sz="8" w:color="CFF0FC"/>
            </w:tcBorders>
          </w:tcPr>
          <w:p>
            <w:pPr>
              <w:spacing w:after="0"/>
              <w:rPr>
                <w:sz w:val="18"/>
                <w:szCs w:val="18"/>
                <w:color w:val="auto"/>
              </w:rPr>
            </w:pPr>
          </w:p>
        </w:tc>
      </w:tr>
      <w:tr>
        <w:trPr>
          <w:trHeight w:val="216"/>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40,831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139,811</w:t>
            </w:r>
          </w:p>
        </w:tc>
        <w:tc>
          <w:tcPr>
            <w:tcW w:w="1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149,651</w:t>
            </w:r>
          </w:p>
        </w:tc>
        <w:tc>
          <w:tcPr>
            <w:tcW w:w="10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 basic</w:t>
            </w:r>
          </w:p>
        </w:tc>
        <w:tc>
          <w:tcPr>
            <w:tcW w:w="2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8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 - diluted</w:t>
            </w:r>
          </w:p>
        </w:tc>
        <w:tc>
          <w:tcPr>
            <w:tcW w:w="2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-2545715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-2545715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-1979930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-1979930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-865505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-582295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840" w:type="dxa"/>
            <w:vAlign w:val="bottom"/>
          </w:tcPr>
          <w:p>
            <w:pPr>
              <w:spacing w:after="0"/>
              <w:rPr>
                <w:sz w:val="10"/>
                <w:szCs w:val="10"/>
                <w:color w:val="auto"/>
              </w:rPr>
            </w:pPr>
          </w:p>
        </w:tc>
        <w:tc>
          <w:tcPr>
            <w:tcW w:w="1700" w:type="dxa"/>
            <w:vAlign w:val="bottom"/>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March 22,</w:t>
            </w: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760" w:type="dxa"/>
            <w:vAlign w:val="bottom"/>
          </w:tcPr>
          <w:p>
            <w:pPr>
              <w:jc w:val="right"/>
              <w:ind w:right="838"/>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100" w:type="dxa"/>
            <w:vAlign w:val="bottom"/>
          </w:tcPr>
          <w:p>
            <w:pPr>
              <w:spacing w:after="0"/>
              <w:rPr>
                <w:sz w:val="10"/>
                <w:szCs w:val="10"/>
                <w:color w:val="auto"/>
              </w:rPr>
            </w:pPr>
          </w:p>
        </w:tc>
      </w:tr>
      <w:tr>
        <w:trPr>
          <w:trHeight w:val="173"/>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shd w:val="clear" w:color="auto" w:fill="CFF0FC"/>
          </w:tcPr>
          <w:p>
            <w:pPr>
              <w:jc w:val="right"/>
              <w:ind w:right="15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139,811</w:t>
            </w:r>
          </w:p>
        </w:tc>
        <w:tc>
          <w:tcPr>
            <w:tcW w:w="4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149,651</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7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(331)</w:t>
            </w:r>
          </w:p>
        </w:tc>
        <w:tc>
          <w:tcPr>
            <w:tcW w:w="6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r>
      <w:tr>
        <w:trPr>
          <w:trHeight w:val="25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700" w:type="dxa"/>
            <w:vAlign w:val="bottom"/>
            <w:tcBorders>
              <w:top w:val="single" w:sz="8" w:color="auto"/>
              <w:bottom w:val="single" w:sz="8" w:color="auto"/>
            </w:tcBorders>
            <w:shd w:val="clear" w:color="auto" w:fill="CFF0FC"/>
          </w:tcPr>
          <w:p>
            <w:pPr>
              <w:jc w:val="right"/>
              <w:ind w:right="152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139,480</w:t>
            </w:r>
          </w:p>
        </w:tc>
        <w:tc>
          <w:tcPr>
            <w:tcW w:w="4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-24765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6"/>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0" w:type="dxa"/>
            <w:vAlign w:val="bottom"/>
          </w:tcPr>
          <w:p>
            <w:pPr>
              <w:spacing w:after="0"/>
              <w:rPr>
                <w:sz w:val="1"/>
                <w:szCs w:val="1"/>
                <w:color w:val="auto"/>
              </w:rPr>
            </w:pPr>
          </w:p>
        </w:tc>
      </w:tr>
      <w:tr>
        <w:trPr>
          <w:trHeight w:val="117"/>
        </w:trPr>
        <w:tc>
          <w:tcPr>
            <w:tcW w:w="78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332"/>
              <w:spacing w:after="0" w:line="118" w:lineRule="exact"/>
              <w:rPr>
                <w:sz w:val="20"/>
                <w:szCs w:val="20"/>
                <w:color w:val="auto"/>
              </w:rPr>
            </w:pPr>
            <w:r>
              <w:rPr>
                <w:rFonts w:ascii="Times New Roman" w:cs="Times New Roman" w:eastAsia="Times New Roman" w:hAnsi="Times New Roman"/>
                <w:sz w:val="13"/>
                <w:szCs w:val="13"/>
                <w:b w:val="1"/>
                <w:bCs w:val="1"/>
                <w:color w:val="auto"/>
              </w:rPr>
              <w:t>March 22,</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351"/>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8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139,811</w:t>
            </w:r>
          </w:p>
        </w:tc>
        <w:tc>
          <w:tcPr>
            <w:tcW w:w="1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Gain on sale of assets</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(7,780)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(benefit) for deferred income taxes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Excess tax benefits from equity-based compensation</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(1,569)</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Provision (benefit) for losses on accounts and notes receivable</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(24,027)</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advertising fund assets and liabilities, restricted</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(9,095)</w:t>
            </w:r>
          </w:p>
        </w:tc>
        <w:tc>
          <w:tcPr>
            <w:tcW w:w="0" w:type="dxa"/>
            <w:vAlign w:val="bottom"/>
          </w:tcPr>
          <w:p>
            <w:pPr>
              <w:spacing w:after="0"/>
              <w:rPr>
                <w:sz w:val="1"/>
                <w:szCs w:val="1"/>
                <w:color w:val="auto"/>
              </w:rPr>
            </w:pPr>
          </w:p>
        </w:tc>
      </w:tr>
      <w:tr>
        <w:trPr>
          <w:trHeight w:val="210"/>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161,955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179,076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(15,043)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(14,745)</w:t>
            </w: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0"/>
        </w:trPr>
        <w:tc>
          <w:tcPr>
            <w:tcW w:w="78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(15,970)</w:t>
            </w:r>
          </w:p>
        </w:tc>
        <w:tc>
          <w:tcPr>
            <w:tcW w:w="0" w:type="dxa"/>
            <w:vAlign w:val="bottom"/>
          </w:tcPr>
          <w:p>
            <w:pPr>
              <w:spacing w:after="0"/>
              <w:rPr>
                <w:sz w:val="1"/>
                <w:szCs w:val="1"/>
                <w:color w:val="auto"/>
              </w:rPr>
            </w:pPr>
          </w:p>
        </w:tc>
      </w:tr>
      <w:tr>
        <w:trPr>
          <w:trHeight w:val="210"/>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Repayments of long-term debt and finance lease obligations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(12,895)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(8,158)</w:t>
            </w:r>
          </w:p>
        </w:tc>
        <w:tc>
          <w:tcPr>
            <w:tcW w:w="0" w:type="dxa"/>
            <w:vAlign w:val="bottom"/>
          </w:tcPr>
          <w:p>
            <w:pPr>
              <w:spacing w:after="0"/>
              <w:rPr>
                <w:sz w:val="1"/>
                <w:szCs w:val="1"/>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09"/>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(88,400)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65,380</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125,675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 beginning of period</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60" w:type="dxa"/>
            <w:vAlign w:val="bottom"/>
            <w:shd w:val="clear" w:color="auto" w:fill="CFF0FC"/>
          </w:tcPr>
          <w:p>
            <w:pPr>
              <w:spacing w:after="0"/>
              <w:rPr>
                <w:sz w:val="17"/>
                <w:szCs w:val="17"/>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92,200</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433,985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462,424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8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beginning of period</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and cash equivalents, end of period</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183,628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82,815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72,202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499,365</w:t>
            </w:r>
          </w:p>
        </w:tc>
        <w:tc>
          <w:tcPr>
            <w:tcW w:w="180" w:type="dxa"/>
            <w:vAlign w:val="bottom"/>
            <w:shd w:val="clear" w:color="auto" w:fill="CFF0FC"/>
          </w:tcPr>
          <w:p>
            <w:pPr>
              <w:spacing w:after="0"/>
              <w:rPr>
                <w:sz w:val="16"/>
                <w:szCs w:val="16"/>
                <w:color w:val="auto"/>
              </w:rPr>
            </w:pPr>
          </w:p>
        </w:tc>
        <w:tc>
          <w:tcPr>
            <w:tcW w:w="3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573,934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86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cash equivalents included in advertising fund assets, restricted, end of period</w:t>
            </w:r>
          </w:p>
        </w:tc>
        <w:tc>
          <w:tcPr>
            <w:tcW w:w="260" w:type="dxa"/>
            <w:vAlign w:val="bottom"/>
            <w:vMerge w:val="continue"/>
            <w:shd w:val="clear" w:color="auto" w:fill="CFF0FC"/>
          </w:tcPr>
          <w:p>
            <w:pPr>
              <w:spacing w:after="0"/>
              <w:rPr>
                <w:sz w:val="18"/>
                <w:szCs w:val="18"/>
                <w:color w:val="auto"/>
              </w:rPr>
            </w:pPr>
          </w:p>
        </w:tc>
        <w:tc>
          <w:tcPr>
            <w:tcW w:w="12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gridSpan w:val="2"/>
            <w:vMerge w:val="continue"/>
            <w:shd w:val="clear" w:color="auto" w:fill="CFF0FC"/>
          </w:tcPr>
          <w:p>
            <w:pPr>
              <w:spacing w:after="0"/>
              <w:rPr>
                <w:sz w:val="18"/>
                <w:szCs w:val="18"/>
                <w:color w:val="auto"/>
              </w:rPr>
            </w:pPr>
          </w:p>
        </w:tc>
        <w:tc>
          <w:tcPr>
            <w:tcW w:w="12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-3916680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-3359785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-3359785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-1945005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-1927860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-1242060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thousands, except share and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22, 2026</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Basis of Presentation</w:t>
      </w:r>
    </w:p>
    <w:p>
      <w:pPr>
        <w:spacing w:after="0" w:line="117" w:lineRule="exact"/>
        <w:rPr>
          <w:sz w:val="20"/>
          <w:szCs w:val="20"/>
          <w:color w:val="auto"/>
        </w:rPr>
      </w:pPr>
    </w:p>
    <w:p>
      <w:pPr>
        <w:ind w:right="140" w:firstLine="255"/>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Additionally, the condensed consolidated balance sheet at December 28, 2025 has been derived from the audited consolidated financial statements at that date but does not include all of the information and footnotes required by accounting principles generally accepted in the United States for complete financial statements. Certain captions have been conformed to the current period presentation. For further information, refer to the consolidated financial statements and footnotes for the fiscal year ended December 28, 2025 included in the Company’s 2025 Annual Report on Form 10-K, filed with the Securities and Exchange Commission on February 23, 2026 (the “2025 Form 10-K”).</w:t>
      </w:r>
    </w:p>
    <w:p>
      <w:pPr>
        <w:spacing w:after="0" w:line="84"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items, considered necessary for a fair statement have been included. Operating results for the first quarter ended March 22, 2026 are not necessarily indicative of the results that may be expected for the 53-week fiscal year ending January 3, 2027.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Segment Information</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has three reportable segments: (i) U.S. stores; (ii) supply chain; and (iii) international franchise.</w:t>
      </w:r>
    </w:p>
    <w:p>
      <w:pPr>
        <w:spacing w:after="0" w:line="131" w:lineRule="exact"/>
        <w:rPr>
          <w:sz w:val="20"/>
          <w:szCs w:val="20"/>
          <w:color w:val="auto"/>
        </w:rPr>
      </w:pPr>
    </w:p>
    <w:p>
      <w:pPr>
        <w:ind w:right="120" w:firstLine="255"/>
        <w:spacing w:after="0" w:line="254" w:lineRule="auto"/>
        <w:rPr>
          <w:sz w:val="20"/>
          <w:szCs w:val="20"/>
          <w:color w:val="auto"/>
        </w:rPr>
      </w:pPr>
      <w:r>
        <w:rPr>
          <w:rFonts w:ascii="Times New Roman" w:cs="Times New Roman" w:eastAsia="Times New Roman" w:hAnsi="Times New Roman"/>
          <w:sz w:val="18"/>
          <w:szCs w:val="18"/>
          <w:color w:val="auto"/>
        </w:rPr>
        <w:t>The Company’s operations are organized by management on the combined basis of line of business and geography. The U.S. stores segment includes operations with respect to all franchised and Company-owned stores throughout the U.S. The supply chain segment primarily includes the distribution of food and, to a lesser extent, other products, from the Company’s supply chain center operations in the U.S. and Canada. The international franchise segment includes operations related to the Company’s franchising business in foreign markets. The Company’s chief operating decision maker is its Chief Executive Officer, and beginning in the first quarter of 2026, he evaluates the performance of the Company’s segments and allocates resources to them based on Segment Adjusted Income from Operations which represents income from operations for the reportable segments, excluding gains and losses from the sale of assets, refranchising gains and losses and certain corporate administrative costs that have not been allocated to a reportable segment. The Company’s chief operating decision maker uses Segment Adjusted Income from Operations to determine future business objectives and targets and for long-range planning for the reportable segments, as well as to evaluate their operating performance.</w:t>
      </w:r>
    </w:p>
    <w:p>
      <w:pPr>
        <w:spacing w:after="0" w:line="94"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8"/>
          <w:szCs w:val="18"/>
          <w:color w:val="auto"/>
        </w:rPr>
        <w:t>The tables below summarize the financial information, including revenues, significant segment expenses, Segment Adjusted Income from Operations, capital expenditures and depreciation and amortization, concerning the Company’s reportable segments for the first quarters ended March 22, 2026 and March 23, 2025. Intersegment revenues are comprised of sales of food and, to a lesser extent, other products, from the supply chain segment to the Company-owned stores in the U.S. stores segment. Intersegment sales prices are market based.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 March 22, 2026</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37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Company-owned stores</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82,098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Supply chain</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724,414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724,414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(25,441)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(25,441)</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80,980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130,529</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16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370,641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698,973</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80,980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1,150,594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 food</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 labor</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64,379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1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35,696</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Adjusted Income from Operations</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132,369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65,512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69,506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267,387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138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2,670</w:t>
            </w:r>
          </w:p>
        </w:tc>
        <w:tc>
          <w:tcPr>
            <w:tcW w:w="2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5,248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7,918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6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depreciation and amortization </w:t>
            </w:r>
            <w:r>
              <w:rPr>
                <w:rFonts w:ascii="Times New Roman" w:cs="Times New Roman" w:eastAsia="Times New Roman" w:hAnsi="Times New Roman"/>
                <w:sz w:val="22"/>
                <w:szCs w:val="22"/>
                <w:b w:val="1"/>
                <w:bCs w:val="1"/>
                <w:color w:val="auto"/>
                <w:vertAlign w:val="superscript"/>
              </w:rPr>
              <w:t>(4)</w:t>
            </w:r>
          </w:p>
        </w:tc>
        <w:tc>
          <w:tcPr>
            <w:tcW w:w="1600" w:type="dxa"/>
            <w:vAlign w:val="bottom"/>
            <w:gridSpan w:val="2"/>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2,558</w:t>
            </w:r>
          </w:p>
        </w:tc>
        <w:tc>
          <w:tcPr>
            <w:tcW w:w="32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9,753</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18</w:t>
            </w:r>
          </w:p>
        </w:tc>
        <w:tc>
          <w:tcPr>
            <w:tcW w:w="4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12,329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446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-1122680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-1104900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-1122680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-1104900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-1122680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-1104900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-1122680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-1104900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-796290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-779780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-796290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-779780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-796290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-779780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-779780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Significant segment expenses and Segment Adjusted Income from Operations in the table below for the first quarter ended March 23, 2025 have been recast to reflect the change in the measure of segment profit used by the Company’s chief operating decision maker.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 March 23, 2025</w:t>
            </w: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372"/>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Supply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Chain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Company-owned stores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91,598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Supply chain</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697,910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Supply chain - intersegment revenues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(27,986)</w:t>
            </w: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revenues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366,573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669,924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75,559</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1,112,056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 food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471,616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 labor</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Cost of sales - other </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36,755</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Segment Adjusted Income from Operations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128,931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63,606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63,744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256,281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capital expenditures </w:t>
            </w:r>
            <w:r>
              <w:rPr>
                <w:rFonts w:ascii="Times New Roman" w:cs="Times New Roman" w:eastAsia="Times New Roman" w:hAnsi="Times New Roman"/>
                <w:sz w:val="22"/>
                <w:szCs w:val="22"/>
                <w:b w:val="1"/>
                <w:bCs w:val="1"/>
                <w:color w:val="auto"/>
                <w:vertAlign w:val="superscript"/>
              </w:rPr>
              <w:t>(3)</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976</w:t>
            </w:r>
          </w:p>
        </w:tc>
        <w:tc>
          <w:tcPr>
            <w:tcW w:w="2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6,486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4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Segment depreciation and amortization </w:t>
            </w:r>
            <w:r>
              <w:rPr>
                <w:rFonts w:ascii="Times New Roman" w:cs="Times New Roman" w:eastAsia="Times New Roman" w:hAnsi="Times New Roman"/>
                <w:sz w:val="22"/>
                <w:szCs w:val="22"/>
                <w:b w:val="1"/>
                <w:bCs w:val="1"/>
                <w:color w:val="auto"/>
                <w:vertAlign w:val="superscript"/>
              </w:rPr>
              <w:t>(4)</w:t>
            </w: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2,820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9,212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35</w:t>
            </w:r>
          </w:p>
        </w:tc>
        <w:tc>
          <w:tcPr>
            <w:tcW w:w="4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12,067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-350520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-333375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-350520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-333375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-350520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-333375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sales - other, includes delivery, occupancy costs (including rent, telephone, utilities, depreciation and amortization) and insurance expense.</w:t>
      </w:r>
    </w:p>
    <w:p>
      <w:pPr>
        <w:spacing w:after="0" w:line="17" w:lineRule="exact"/>
        <w:rPr>
          <w:rFonts w:ascii="Times New Roman" w:cs="Times New Roman" w:eastAsia="Times New Roman" w:hAnsi="Times New Roman"/>
          <w:sz w:val="14"/>
          <w:szCs w:val="14"/>
          <w:color w:val="auto"/>
        </w:rPr>
      </w:pPr>
    </w:p>
    <w:p>
      <w:pPr>
        <w:jc w:val="both"/>
        <w:ind w:left="460" w:right="240" w:hanging="452"/>
        <w:spacing w:after="0" w:line="228"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and administrative expense consists primarily of labor cost, depreciation and amortization, computer expenses, professional fees, travel and entertainment, rent, insurance and other. Gains and losses from the sale of assets and refranchising gains and losses are not included in the measurement of Segment Adjusted Income from Operations. Non-cash equity-based compensation expense is not allocated to the reportable segments.</w:t>
      </w:r>
    </w:p>
    <w:p>
      <w:pPr>
        <w:ind w:left="460" w:right="440" w:hanging="452"/>
        <w:spacing w:after="0" w:line="221"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had $8.6 million and $8.7 million of other capital expenditures not attributable to the reportable segments primarily representing capitalized software in the first quarters of 2026 and 2025, respectively.</w:t>
      </w:r>
    </w:p>
    <w:p>
      <w:pPr>
        <w:ind w:left="460" w:hanging="452"/>
        <w:spacing w:after="0" w:line="221" w:lineRule="auto"/>
        <w:tabs>
          <w:tab w:leader="none" w:pos="4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depreciation and amortization reflects amounts included within cost of sales - other and general and administrative expenses. The Company also had $8.1 million and</w:t>
      </w:r>
    </w:p>
    <w:p>
      <w:pPr>
        <w:ind w:left="460" w:right="38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$8.3 million of depreciation and amortization expense included in general and administrative expense not allocated to the reportable segments in the first quarters of 2026 and 2025, respectively.</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Segment Adjusted Income from Operations to income before provision for income taxes: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2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17"/>
        </w:trPr>
        <w:tc>
          <w:tcPr>
            <w:tcW w:w="77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March 22,</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394"/>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100" w:type="dxa"/>
            <w:vAlign w:val="bottom"/>
          </w:tcPr>
          <w:p>
            <w:pPr>
              <w:spacing w:after="0"/>
              <w:rPr>
                <w:sz w:val="10"/>
                <w:szCs w:val="10"/>
                <w:color w:val="auto"/>
              </w:rPr>
            </w:pP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Adjusted Income from Operations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267,387</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 unallocated </w:t>
            </w:r>
            <w:r>
              <w:rPr>
                <w:rFonts w:ascii="Times New Roman" w:cs="Times New Roman" w:eastAsia="Times New Roman" w:hAnsi="Times New Roman"/>
                <w:sz w:val="24"/>
                <w:szCs w:val="24"/>
                <w:color w:val="auto"/>
                <w:vertAlign w:val="superscript"/>
              </w:rPr>
              <w:t>(1)</w:t>
            </w:r>
          </w:p>
        </w:tc>
        <w:tc>
          <w:tcPr>
            <w:tcW w:w="2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(46,186)</w:t>
            </w: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 on sale of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230,357</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210,095</w:t>
            </w: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(5,990)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(46,227)</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(45,585)</w:t>
            </w:r>
          </w:p>
        </w:tc>
      </w:tr>
      <w:tr>
        <w:trPr>
          <w:trHeight w:val="20"/>
        </w:trPr>
        <w:tc>
          <w:tcPr>
            <w:tcW w:w="7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180,642</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-727710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460" w:right="80" w:hanging="452"/>
        <w:spacing w:after="0" w:line="261" w:lineRule="auto"/>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corporate administrative costs that have not been allocated to a reportable segment including labor (including non-cash equity-based compensation expense), depreciation and amortization, computer expenses, professional fees, travel and entertainment, rent, insurance and other corporate administrative costs.</w:t>
      </w:r>
    </w:p>
    <w:p>
      <w:pPr>
        <w:spacing w:after="0" w:line="167" w:lineRule="exact"/>
        <w:rPr>
          <w:sz w:val="20"/>
          <w:szCs w:val="20"/>
          <w:color w:val="auto"/>
        </w:rPr>
      </w:pPr>
    </w:p>
    <w:p>
      <w:pPr>
        <w:ind w:right="200" w:firstLine="255"/>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is not regularly provided financial information related to the assets of the reportable segments, and he does not evaluate their performance or allocate resources to them based on assets. Therefore, total assets by reportable segment are not included in the Company’s segment disclosures.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60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jc w:val="right"/>
              <w:ind w:right="497"/>
              <w:spacing w:after="0" w:line="118" w:lineRule="exact"/>
              <w:rPr>
                <w:sz w:val="20"/>
                <w:szCs w:val="20"/>
                <w:color w:val="auto"/>
              </w:rPr>
            </w:pPr>
            <w:r>
              <w:rPr>
                <w:rFonts w:ascii="Times New Roman" w:cs="Times New Roman" w:eastAsia="Times New Roman" w:hAnsi="Times New Roman"/>
                <w:sz w:val="13"/>
                <w:szCs w:val="13"/>
                <w:b w:val="1"/>
                <w:bCs w:val="1"/>
                <w:color w:val="auto"/>
              </w:rPr>
              <w:t>March 22,</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tcPr>
          <w:p>
            <w:pPr>
              <w:jc w:val="right"/>
              <w:ind w:right="496"/>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120" w:type="dxa"/>
            <w:vAlign w:val="bottom"/>
          </w:tcPr>
          <w:p>
            <w:pPr>
              <w:spacing w:after="0"/>
              <w:rPr>
                <w:sz w:val="10"/>
                <w:szCs w:val="10"/>
                <w:color w:val="auto"/>
              </w:rPr>
            </w:pPr>
          </w:p>
        </w:tc>
      </w:tr>
      <w:tr>
        <w:trPr>
          <w:trHeight w:val="173"/>
        </w:trPr>
        <w:tc>
          <w:tcPr>
            <w:tcW w:w="6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5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139,811</w:t>
            </w:r>
          </w:p>
        </w:tc>
        <w:tc>
          <w:tcPr>
            <w:tcW w:w="8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149,651</w:t>
            </w:r>
          </w:p>
        </w:tc>
        <w:tc>
          <w:tcPr>
            <w:tcW w:w="120" w:type="dxa"/>
            <w:vAlign w:val="bottom"/>
            <w:shd w:val="clear" w:color="auto" w:fill="CFF0FC"/>
          </w:tcPr>
          <w:p>
            <w:pPr>
              <w:spacing w:after="0"/>
              <w:rPr>
                <w:sz w:val="21"/>
                <w:szCs w:val="21"/>
                <w:color w:val="auto"/>
              </w:rPr>
            </w:pPr>
          </w:p>
        </w:tc>
      </w:tr>
      <w:tr>
        <w:trPr>
          <w:trHeight w:val="197"/>
        </w:trPr>
        <w:tc>
          <w:tcPr>
            <w:tcW w:w="60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Basic weighted average number of shares</w:t>
            </w:r>
          </w:p>
        </w:tc>
        <w:tc>
          <w:tcPr>
            <w:tcW w:w="13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33,609,349</w:t>
            </w:r>
          </w:p>
        </w:tc>
        <w:tc>
          <w:tcPr>
            <w:tcW w:w="24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34,284,052</w:t>
            </w:r>
          </w:p>
        </w:tc>
        <w:tc>
          <w:tcPr>
            <w:tcW w:w="120" w:type="dxa"/>
            <w:vAlign w:val="bottom"/>
            <w:tcBorders>
              <w:top w:val="single" w:sz="8" w:color="CFF0FC"/>
            </w:tcBorders>
          </w:tcPr>
          <w:p>
            <w:pPr>
              <w:spacing w:after="0"/>
              <w:rPr>
                <w:sz w:val="17"/>
                <w:szCs w:val="17"/>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 basic</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FF0F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number of shares</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33,815,028</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34,553,820</w:t>
            </w:r>
          </w:p>
        </w:tc>
        <w:tc>
          <w:tcPr>
            <w:tcW w:w="120" w:type="dxa"/>
            <w:vAlign w:val="bottom"/>
          </w:tcPr>
          <w:p>
            <w:pPr>
              <w:spacing w:after="0"/>
              <w:rPr>
                <w:sz w:val="18"/>
                <w:szCs w:val="18"/>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1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-573405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-556895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-573405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-556895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the first quarters ended March 22, 2026 and March 23, 2025 do not include the following because the effect of including them would be anti-dilutive or because the performance conditions had not yet been met:</w:t>
      </w:r>
    </w:p>
    <w:p>
      <w:pPr>
        <w:spacing w:after="0" w:line="155" w:lineRule="exact"/>
        <w:rPr>
          <w:sz w:val="20"/>
          <w:szCs w:val="20"/>
          <w:color w:val="auto"/>
        </w:rPr>
      </w:pPr>
    </w:p>
    <w:tbl>
      <w:tblPr>
        <w:tblLayout w:type="fixed"/>
        <w:tblInd w:w="7300" w:type="dxa"/>
        <w:tblCellMar>
          <w:top w:w="0" w:type="dxa"/>
          <w:left w:w="0" w:type="dxa"/>
          <w:bottom w:w="0" w:type="dxa"/>
          <w:right w:w="0" w:type="dxa"/>
        </w:tblCellMar>
      </w:tblPr>
      <w:tr>
        <w:trPr>
          <w:trHeight w:val="173"/>
        </w:trPr>
        <w:tc>
          <w:tcPr>
            <w:tcW w:w="1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17"/>
        </w:trPr>
        <w:tc>
          <w:tcPr>
            <w:tcW w:w="1220" w:type="dxa"/>
            <w:vAlign w:val="bottom"/>
          </w:tcPr>
          <w:p>
            <w:pPr>
              <w:jc w:val="center"/>
              <w:ind w:left="511"/>
              <w:spacing w:after="0" w:line="118" w:lineRule="exact"/>
              <w:rPr>
                <w:sz w:val="20"/>
                <w:szCs w:val="20"/>
                <w:color w:val="auto"/>
              </w:rPr>
            </w:pPr>
            <w:r>
              <w:rPr>
                <w:rFonts w:ascii="Times New Roman" w:cs="Times New Roman" w:eastAsia="Times New Roman" w:hAnsi="Times New Roman"/>
                <w:sz w:val="13"/>
                <w:szCs w:val="13"/>
                <w:b w:val="1"/>
                <w:bCs w:val="1"/>
                <w:color w:val="auto"/>
              </w:rPr>
              <w:t>March 22,</w:t>
            </w:r>
          </w:p>
        </w:tc>
        <w:tc>
          <w:tcPr>
            <w:tcW w:w="2620" w:type="dxa"/>
            <w:vAlign w:val="bottom"/>
          </w:tcPr>
          <w:p>
            <w:pPr>
              <w:jc w:val="center"/>
              <w:ind w:left="710"/>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r>
      <w:tr>
        <w:trPr>
          <w:trHeight w:val="188"/>
        </w:trPr>
        <w:tc>
          <w:tcPr>
            <w:tcW w:w="12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20" w:type="dxa"/>
            <w:vAlign w:val="bottom"/>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condition not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Performance-based restricted stock units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Stockholders’ Deficit</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first quarter of 2026.</w:t>
      </w:r>
    </w:p>
    <w:p>
      <w:pPr>
        <w:spacing w:after="0" w:line="200" w:lineRule="exact"/>
        <w:rPr>
          <w:sz w:val="20"/>
          <w:szCs w:val="20"/>
          <w:color w:val="auto"/>
        </w:rPr>
      </w:pPr>
    </w:p>
    <w:p>
      <w:pPr>
        <w:spacing w:after="0" w:line="3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7620</wp:posOffset>
            </wp:positionV>
            <wp:extent cx="15087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ind w:left="5140"/>
        <w:spacing w:after="0"/>
        <w:tabs>
          <w:tab w:leader="none" w:pos="6400" w:val="left"/>
        </w:tabs>
        <w:rPr>
          <w:sz w:val="20"/>
          <w:szCs w:val="20"/>
          <w:color w:val="auto"/>
        </w:rPr>
      </w:pPr>
      <w:r>
        <w:rPr>
          <w:rFonts w:ascii="Times New Roman" w:cs="Times New Roman" w:eastAsia="Times New Roman" w:hAnsi="Times New Roman"/>
          <w:sz w:val="14"/>
          <w:szCs w:val="14"/>
          <w:b w:val="1"/>
          <w:bCs w:val="1"/>
          <w:color w:val="auto"/>
        </w:rPr>
        <w:t>Shares</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1000" w:type="dxa"/>
        <w:tblCellMar>
          <w:top w:w="0" w:type="dxa"/>
          <w:left w:w="0" w:type="dxa"/>
          <w:bottom w:w="0" w:type="dxa"/>
          <w:right w:w="0" w:type="dxa"/>
        </w:tblCellMar>
      </w:tblPr>
      <w:tr>
        <w:trPr>
          <w:trHeight w:val="216"/>
        </w:trPr>
        <w:tc>
          <w:tcPr>
            <w:tcW w:w="13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9"/>
              </w:rPr>
              <w:t>198,668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91,269</w:t>
            </w:r>
          </w:p>
        </w:tc>
      </w:tr>
      <w:tr>
        <w:trPr>
          <w:trHeight w:val="234"/>
        </w:trPr>
        <w:tc>
          <w:tcPr>
            <w:tcW w:w="13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26,548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13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46,924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tcPr>
          <w:p>
            <w:pPr>
              <w:spacing w:after="0"/>
              <w:rPr>
                <w:sz w:val="13"/>
                <w:szCs w:val="13"/>
                <w:color w:val="auto"/>
              </w:rPr>
            </w:pPr>
          </w:p>
        </w:tc>
        <w:tc>
          <w:tcPr>
            <w:tcW w:w="13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980" w:type="dxa"/>
            <w:vAlign w:val="bottom"/>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30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98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240" w:space="260"/>
            <w:col w:w="3740"/>
          </w:cols>
          <w:pgMar w:left="320" w:top="98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7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Balance at December 28, 2025</w:t>
            </w:r>
          </w:p>
        </w:tc>
        <w:tc>
          <w:tcPr>
            <w:tcW w:w="12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33,627,992</w:t>
            </w:r>
          </w:p>
        </w:tc>
        <w:tc>
          <w:tcPr>
            <w:tcW w:w="16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FF0FC"/>
          </w:tcPr>
          <w:p>
            <w:pPr>
              <w:spacing w:after="0"/>
              <w:rPr>
                <w:sz w:val="16"/>
                <w:szCs w:val="16"/>
                <w:color w:val="auto"/>
              </w:rPr>
            </w:pPr>
          </w:p>
        </w:tc>
        <w:tc>
          <w:tcPr>
            <w:tcW w:w="300" w:type="dxa"/>
            <w:vAlign w:val="bottom"/>
            <w:gridSpan w:val="2"/>
            <w:shd w:val="clear" w:color="auto" w:fill="CFF0FC"/>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1,910</w:t>
            </w: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(3,898,622)</w:t>
            </w:r>
          </w:p>
        </w:tc>
        <w:tc>
          <w:tcPr>
            <w:tcW w:w="540" w:type="dxa"/>
            <w:vAlign w:val="bottom"/>
            <w:gridSpan w:val="2"/>
            <w:shd w:val="clear" w:color="auto" w:fill="CFF0FC"/>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(4,766)</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7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($1.99 per share)</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(67,278)</w:t>
            </w:r>
          </w:p>
        </w:tc>
        <w:tc>
          <w:tcPr>
            <w:tcW w:w="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(32,337)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(12,558)</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(188,304)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(12,093)</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47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22, 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33,503,323</w:t>
            </w:r>
          </w:p>
        </w:tc>
        <w:tc>
          <w:tcPr>
            <w:tcW w:w="16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(3,902,172)</w:t>
            </w: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(5,097)</w:t>
            </w:r>
          </w:p>
        </w:tc>
      </w:tr>
      <w:tr>
        <w:trPr>
          <w:trHeight w:val="20"/>
        </w:trPr>
        <w:tc>
          <w:tcPr>
            <w:tcW w:w="4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-170815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-170815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firstLine="255"/>
        <w:spacing w:after="0" w:line="282" w:lineRule="auto"/>
        <w:rPr>
          <w:sz w:val="20"/>
          <w:szCs w:val="20"/>
          <w:color w:val="auto"/>
        </w:rPr>
      </w:pPr>
      <w:r>
        <w:rPr>
          <w:rFonts w:ascii="Times New Roman" w:cs="Times New Roman" w:eastAsia="Times New Roman" w:hAnsi="Times New Roman"/>
          <w:sz w:val="18"/>
          <w:szCs w:val="18"/>
          <w:color w:val="auto"/>
        </w:rPr>
        <w:t>Subsequent to the end of the first quarter of 2026, on April 21, 2026, the Company’s Board of Directors declared a $1.99 per share quarterly dividend on its outstanding common stock for shareholders of record as of June 15, 2026 to be paid on June 30, 2026.</w:t>
      </w:r>
    </w:p>
    <w:p>
      <w:pPr>
        <w:spacing w:after="0" w:line="162" w:lineRule="exact"/>
        <w:rPr>
          <w:sz w:val="20"/>
          <w:szCs w:val="20"/>
          <w:color w:val="auto"/>
        </w:rPr>
      </w:pPr>
    </w:p>
    <w:p>
      <w:pPr>
        <w:jc w:val="both"/>
        <w:ind w:right="280" w:firstLine="255"/>
        <w:spacing w:after="0" w:line="255" w:lineRule="auto"/>
        <w:rPr>
          <w:sz w:val="20"/>
          <w:szCs w:val="20"/>
          <w:color w:val="auto"/>
        </w:rPr>
      </w:pPr>
      <w:r>
        <w:rPr>
          <w:rFonts w:ascii="Times New Roman" w:cs="Times New Roman" w:eastAsia="Times New Roman" w:hAnsi="Times New Roman"/>
          <w:sz w:val="18"/>
          <w:szCs w:val="18"/>
          <w:color w:val="auto"/>
        </w:rPr>
        <w:t>Subsequent to the end of the first quarter of 2026 and through April 21, 2026, the Company repurchased and retired an additional 257,545 shares of common stock for a total of approximately $94.4 million. Subsequent to the end of the first quarter of 2026, on April 21, 2026, the Company’s Board of Directors authorized an additional share repurchase program to repurchase up to $1.0 billion of the Company’s common stock, in addition to the $290.2 million that was previously remaining for a total authorization of $1.29 billion for future share repurchases.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first quarter of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2580" w:type="dxa"/>
            <w:vAlign w:val="bottom"/>
            <w:gridSpan w:val="5"/>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0"/>
        </w:trPr>
        <w:tc>
          <w:tcPr>
            <w:tcW w:w="4860" w:type="dxa"/>
            <w:vAlign w:val="bottom"/>
          </w:tcPr>
          <w:p>
            <w:pPr>
              <w:spacing w:after="0"/>
              <w:rPr>
                <w:sz w:val="13"/>
                <w:szCs w:val="13"/>
                <w:color w:val="auto"/>
              </w:rPr>
            </w:pPr>
          </w:p>
        </w:tc>
        <w:tc>
          <w:tcPr>
            <w:tcW w:w="25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118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20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29,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34,281,927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(3,956,474)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(7,432)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149,651</w:t>
            </w: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($1.74 per share)</w:t>
            </w:r>
          </w:p>
        </w:tc>
        <w:tc>
          <w:tcPr>
            <w:tcW w:w="1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(59,800)</w:t>
            </w:r>
          </w:p>
        </w:tc>
        <w:tc>
          <w:tcPr>
            <w:tcW w:w="8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(18,630)</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(8,158)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(115,280)</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(40,210)</w:t>
            </w: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48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23,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34,230,813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(3,906,833)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(7,089)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-170815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Fair Value Measurements</w:t>
      </w:r>
    </w:p>
    <w:p>
      <w:pPr>
        <w:spacing w:after="0" w:line="185"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Marketable Securities</w:t>
      </w:r>
    </w:p>
    <w:p>
      <w:pPr>
        <w:spacing w:after="0" w:line="225" w:lineRule="exact"/>
        <w:rPr>
          <w:sz w:val="20"/>
          <w:szCs w:val="20"/>
          <w:color w:val="auto"/>
        </w:rPr>
      </w:pPr>
    </w:p>
    <w:p>
      <w:pPr>
        <w:ind w:right="220" w:firstLine="255"/>
        <w:spacing w:after="0" w:line="282"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Investments</w:t>
      </w:r>
    </w:p>
    <w:p>
      <w:pPr>
        <w:spacing w:after="0" w:line="117"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(“DPC Dash”), the Company’s master franchisee in China that owns and operates Domino’s Pizza stores in that market. DPC Dash is listed on the Hong Kong Exchange (HK: 1405) and the Company accounts for its investment as a trading security and records it at fair value at the end of each reporting period, with gains and losses recorded in other income or expense in its consolidated statements of income. As of March 22, 2026 and December 28, 2025, the fair value of the Company’s investment in DPC Dash is based on the active exchange quoted price for the equity security (HK$60.40 per share as of March 22, 2026 and HK$71.90 per share as of December 28, 2025). The Company owned 3,901,019 ordinary shares as of March 22, 2026 and December 28, 2025, representing 3.0% of DPC Dash's ordinary shares as of the respective dates.</w:t>
      </w:r>
    </w:p>
    <w:p>
      <w:pPr>
        <w:spacing w:after="0" w:line="81" w:lineRule="exact"/>
        <w:rPr>
          <w:sz w:val="20"/>
          <w:szCs w:val="20"/>
          <w:color w:val="auto"/>
        </w:rPr>
      </w:pPr>
    </w:p>
    <w:p>
      <w:pPr>
        <w:jc w:val="both"/>
        <w:ind w:right="20" w:firstLine="255"/>
        <w:spacing w:after="0" w:line="255" w:lineRule="auto"/>
        <w:rPr>
          <w:sz w:val="20"/>
          <w:szCs w:val="20"/>
          <w:color w:val="auto"/>
        </w:rPr>
      </w:pPr>
      <w:r>
        <w:rPr>
          <w:rFonts w:ascii="Times New Roman" w:cs="Times New Roman" w:eastAsia="Times New Roman" w:hAnsi="Times New Roman"/>
          <w:sz w:val="18"/>
          <w:szCs w:val="18"/>
          <w:color w:val="auto"/>
        </w:rPr>
        <w:t>The Company recorded a negative adjustment to the carrying amount of its investment in DPC Dash of $6.0 million in the first quarter of 2026, with the loss recorded in other expense in its condensed consolidated statements of income. The Company recorded a positive adjustment to the carrying amount of its investment in DPC Dash of $24.0 million in the first quarter of 2025 with the gain recorded in other income in its condensed consolidated statements of income.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carrying amounts and fair values of certain assets at March 22, 2026 and December 28,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At March 22, 2026</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0"/>
                <w:szCs w:val="10"/>
                <w:color w:val="auto"/>
              </w:rPr>
            </w:pPr>
          </w:p>
        </w:tc>
        <w:tc>
          <w:tcPr>
            <w:tcW w:w="1040" w:type="dxa"/>
            <w:vAlign w:val="bottom"/>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138,976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138,976</w:t>
            </w:r>
          </w:p>
        </w:tc>
        <w:tc>
          <w:tcPr>
            <w:tcW w:w="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25,890</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DPC Dash</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30,080</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At December 28, 2025</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0"/>
                <w:szCs w:val="10"/>
                <w:color w:val="auto"/>
              </w:rPr>
            </w:pPr>
          </w:p>
        </w:tc>
        <w:tc>
          <w:tcPr>
            <w:tcW w:w="1040" w:type="dxa"/>
            <w:vAlign w:val="bottom"/>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Level 2</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jc w:val="center"/>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54,306</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54,306</w:t>
            </w:r>
          </w:p>
        </w:tc>
        <w:tc>
          <w:tcPr>
            <w:tcW w:w="1260" w:type="dxa"/>
            <w:vAlign w:val="bottom"/>
            <w:gridSpan w:val="2"/>
            <w:shd w:val="clear" w:color="auto" w:fill="CFF0FC"/>
          </w:tcPr>
          <w:p>
            <w:pPr>
              <w:jc w:val="right"/>
              <w:ind w:right="87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146,517</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146,517</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24,971</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24,971</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65,604</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65,604</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DPC Dash</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36,070</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36,070</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131"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The estimated fair values of the Company’s notes are classified as Level 2 measurements, as the Company estimates the fair value amount by using available market information. The Company obtained quotes from two separate brokerage firms that are knowledgeable about the Company’s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noteholders could realize in a current market exchange. The use of different assumptions and/or estimation methodologies may have a material effect on the estimated fair values stated below.</w:t>
      </w:r>
    </w:p>
    <w:p>
      <w:pPr>
        <w:spacing w:after="0" w:line="9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Company’s notes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22, 2026</w:t>
            </w: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28, 2025</w:t>
            </w:r>
          </w:p>
        </w:tc>
      </w:tr>
      <w:tr>
        <w:trPr>
          <w:trHeight w:val="142"/>
        </w:trPr>
        <w:tc>
          <w:tcPr>
            <w:tcW w:w="4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2017</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932,480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934,360</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2018</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377,863</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2019</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620,784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648,000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624,024</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2021</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826,625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785,294</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2021</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883,030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893,728</w:t>
            </w:r>
          </w:p>
        </w:tc>
        <w:tc>
          <w:tcPr>
            <w:tcW w:w="100" w:type="dxa"/>
            <w:vAlign w:val="bottom"/>
            <w:shd w:val="clear" w:color="auto" w:fill="CFF0FC"/>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Five-Year Notes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503,000</w:t>
            </w:r>
          </w:p>
        </w:tc>
        <w:tc>
          <w:tcPr>
            <w:tcW w:w="100" w:type="dxa"/>
            <w:vAlign w:val="bottom"/>
          </w:tcPr>
          <w:p>
            <w:pPr>
              <w:spacing w:after="0"/>
              <w:rPr>
                <w:sz w:val="18"/>
                <w:szCs w:val="18"/>
                <w:color w:val="auto"/>
              </w:rPr>
            </w:pPr>
          </w:p>
        </w:tc>
      </w:tr>
      <w:tr>
        <w:trPr>
          <w:trHeight w:val="21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2025</w:t>
            </w:r>
          </w:p>
        </w:tc>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Seven-Year Notes</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506,000</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had no outstanding borrowings under its variable funding notes at March 22, 2026 or December 28, 2025.</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6. Leverage Ratio and Debt Classification</w:t>
      </w:r>
    </w:p>
    <w:p>
      <w:pPr>
        <w:spacing w:after="0" w:line="13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While the Company’s senior notes are outstanding, scheduled payments of principal and interest are required to be made on a quarterly basis. In accordance with the Company’s debt agreements, the payment of principal on the 2025 Five-Year Notes and the 2025 Seven-Year Notes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In accordance with the Company’s debt agreements, the payment of principal on the 2021 7.5-Year Notes, 2021 Ten-Year Notes, 2019 Ten-Year Notes, 2018 9.25-Year Notes and 2017 Ten-Year Notes may be suspended if the Holdco Leverage Ratio is less than or equal to 5.0x total debt to Consolidated Adjusted EBITDA, each as defined in the indenture governing the securitized debt, and no catch-up provisions are applicable. As of the end of the first quarter of 2026 and the end of the fourth quarter of 2025, the Company satisfied the non-amortization tests for each respective series of notes, and accordingly, the outstanding principal amounts of the notes have been classified as long-term debt in the condensed consolidated balance sheets as of March 22, 2026 and December 28, 2025.</w:t>
      </w:r>
    </w:p>
    <w:p>
      <w:pPr>
        <w:spacing w:after="0" w:line="188" w:lineRule="exact"/>
        <w:rPr>
          <w:sz w:val="20"/>
          <w:szCs w:val="20"/>
          <w:color w:val="auto"/>
        </w:rPr>
      </w:pPr>
    </w:p>
    <w:p>
      <w:pPr>
        <w:jc w:val="right"/>
        <w:ind w:left="300" w:right="9540" w:hanging="292"/>
        <w:spacing w:after="0" w:line="414" w:lineRule="auto"/>
        <w:tabs>
          <w:tab w:leader="none" w:pos="19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Revenue Disclosures </w:t>
      </w:r>
      <w:r>
        <w:rPr>
          <w:rFonts w:ascii="Times New Roman" w:cs="Times New Roman" w:eastAsia="Times New Roman" w:hAnsi="Times New Roman"/>
          <w:sz w:val="17"/>
          <w:szCs w:val="17"/>
          <w:u w:val="single" w:color="auto"/>
          <w:color w:val="auto"/>
        </w:rPr>
        <w:t>Contract Liabilities</w:t>
      </w:r>
    </w:p>
    <w:p>
      <w:pPr>
        <w:spacing w:after="0" w:line="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Contract liabilities primarily consist of deferred franchise fees and deferred development fees. Deferred franchise fees and deferred development fees of $4.8 million were included in current other accrued liabilities as of both March 22, 2026 and December 28, 2025. Deferred franchise fees and deferred development fees of $11.4 million and $12.5 million were included in long-term other accrued liabilities as of March 22, 2026 and December 28, 2025, respectively.</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Changes in deferred franchise fees and deferred development fees for the first quarters of 2026 and 2025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17"/>
        </w:trPr>
        <w:tc>
          <w:tcPr>
            <w:tcW w:w="77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2"/>
          </w:tcPr>
          <w:p>
            <w:pPr>
              <w:jc w:val="right"/>
              <w:ind w:right="760"/>
              <w:spacing w:after="0" w:line="118" w:lineRule="exact"/>
              <w:rPr>
                <w:sz w:val="20"/>
                <w:szCs w:val="20"/>
                <w:color w:val="auto"/>
              </w:rPr>
            </w:pPr>
            <w:r>
              <w:rPr>
                <w:rFonts w:ascii="Times New Roman" w:cs="Times New Roman" w:eastAsia="Times New Roman" w:hAnsi="Times New Roman"/>
                <w:sz w:val="13"/>
                <w:szCs w:val="13"/>
                <w:b w:val="1"/>
                <w:bCs w:val="1"/>
                <w:color w:val="auto"/>
              </w:rPr>
              <w:t>March 22,</w:t>
            </w: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357"/>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120" w:type="dxa"/>
            <w:vAlign w:val="bottom"/>
          </w:tcPr>
          <w:p>
            <w:pPr>
              <w:spacing w:after="0"/>
              <w:rPr>
                <w:sz w:val="10"/>
                <w:szCs w:val="10"/>
                <w:color w:val="auto"/>
              </w:rPr>
            </w:pPr>
          </w:p>
        </w:tc>
      </w:tr>
      <w:tr>
        <w:trPr>
          <w:trHeight w:val="173"/>
        </w:trPr>
        <w:tc>
          <w:tcPr>
            <w:tcW w:w="7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1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franchise fees and deferred development fees, beginning of period</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17,318</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20,946</w:t>
            </w: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(1,686)</w:t>
            </w:r>
          </w:p>
        </w:tc>
        <w:tc>
          <w:tcPr>
            <w:tcW w:w="2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(1,668)</w:t>
            </w:r>
          </w:p>
        </w:tc>
      </w:tr>
      <w:tr>
        <w:trPr>
          <w:trHeight w:val="216"/>
        </w:trPr>
        <w:tc>
          <w:tcPr>
            <w:tcW w:w="7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fees and deferred development fees, end of period</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16,224</w:t>
            </w:r>
          </w:p>
        </w:tc>
        <w:tc>
          <w:tcPr>
            <w:tcW w:w="3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20,004</w:t>
            </w:r>
          </w:p>
        </w:tc>
      </w:tr>
      <w:tr>
        <w:trPr>
          <w:trHeight w:val="20"/>
        </w:trPr>
        <w:tc>
          <w:tcPr>
            <w:tcW w:w="7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Advertising Fund Assets</w:t>
      </w:r>
    </w:p>
    <w:p>
      <w:pPr>
        <w:spacing w:after="0" w:line="131" w:lineRule="exact"/>
        <w:rPr>
          <w:sz w:val="20"/>
          <w:szCs w:val="20"/>
          <w:color w:val="auto"/>
        </w:rPr>
      </w:pPr>
    </w:p>
    <w:p>
      <w:pPr>
        <w:ind w:right="40" w:firstLine="255"/>
        <w:spacing w:after="0" w:line="266" w:lineRule="auto"/>
        <w:rPr>
          <w:sz w:val="20"/>
          <w:szCs w:val="20"/>
          <w:color w:val="auto"/>
        </w:rPr>
      </w:pPr>
      <w:r>
        <w:rPr>
          <w:rFonts w:ascii="Times New Roman" w:cs="Times New Roman" w:eastAsia="Times New Roman" w:hAnsi="Times New Roman"/>
          <w:sz w:val="18"/>
          <w:szCs w:val="18"/>
          <w:color w:val="auto"/>
        </w:rPr>
        <w:t>As of March 22, 2026, advertising fund assets, restricted of $115.8 million consisted of $82.8 million of cash and cash equivalents, $20.6 million of accounts receivable and $12.4 million of prepaid expenses. As of March 22, 2026, advertising fund cash and cash equivalents included $2.4 million of cash contributed from U.S. Company-owned stores that had not yet been expended.</w:t>
      </w:r>
    </w:p>
    <w:p>
      <w:pPr>
        <w:spacing w:after="0" w:line="81"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8"/>
          <w:szCs w:val="18"/>
          <w:color w:val="auto"/>
        </w:rPr>
        <w:t>As of December 28, 2025, advertising fund assets, restricted of $117.5 million consisted of $92.2 million of cash and cash equivalents, $18.4 million of accounts receivable and $6.9 million of prepaid expenses. As of December 28, 2025, advertising fund cash and cash equivalents included $2.1 million of cash contributed from U.S. Company-owned stores that had not yet been expended.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8. Leases</w:t>
      </w:r>
    </w:p>
    <w:p>
      <w:pPr>
        <w:spacing w:after="0" w:line="117"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with expiration dates through 2046. Rent expense totaled $22.7 million and $21.8 million in the first quarter of 2026 and the first quarter of 2025,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$1.0 million and $2.0 million in the first quarter of 2026 and the first quarter of 2025, respectively. Variable rent expense and rent expense for other short-term leases were immaterial in both the first quarter of 2026 and 2025.</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components of operating and finance lease cost for the first quarters of 2026 and 2025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560" w:type="dxa"/>
            <w:vAlign w:val="bottom"/>
          </w:tcPr>
          <w:p>
            <w:pPr>
              <w:spacing w:after="0"/>
              <w:rPr>
                <w:sz w:val="10"/>
                <w:szCs w:val="10"/>
                <w:color w:val="auto"/>
              </w:rPr>
            </w:pPr>
          </w:p>
        </w:tc>
        <w:tc>
          <w:tcPr>
            <w:tcW w:w="150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March 22,</w:t>
            </w: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20" w:type="dxa"/>
            <w:vAlign w:val="bottom"/>
          </w:tcPr>
          <w:p>
            <w:pPr>
              <w:jc w:val="right"/>
              <w:ind w:right="677"/>
              <w:spacing w:after="0" w:line="118" w:lineRule="exact"/>
              <w:rPr>
                <w:sz w:val="20"/>
                <w:szCs w:val="20"/>
                <w:color w:val="auto"/>
              </w:rPr>
            </w:pPr>
            <w:r>
              <w:rPr>
                <w:rFonts w:ascii="Times New Roman" w:cs="Times New Roman" w:eastAsia="Times New Roman" w:hAnsi="Times New Roman"/>
                <w:sz w:val="13"/>
                <w:szCs w:val="13"/>
                <w:b w:val="1"/>
                <w:bCs w:val="1"/>
                <w:color w:val="auto"/>
              </w:rPr>
              <w:t>March 23,</w:t>
            </w:r>
          </w:p>
        </w:tc>
        <w:tc>
          <w:tcPr>
            <w:tcW w:w="100" w:type="dxa"/>
            <w:vAlign w:val="bottom"/>
          </w:tcPr>
          <w:p>
            <w:pPr>
              <w:spacing w:after="0"/>
              <w:rPr>
                <w:sz w:val="10"/>
                <w:szCs w:val="10"/>
                <w:color w:val="auto"/>
              </w:rPr>
            </w:pPr>
          </w:p>
        </w:tc>
      </w:tr>
      <w:tr>
        <w:trPr>
          <w:trHeight w:val="173"/>
        </w:trPr>
        <w:tc>
          <w:tcPr>
            <w:tcW w:w="6560" w:type="dxa"/>
            <w:vAlign w:val="bottom"/>
          </w:tcPr>
          <w:p>
            <w:pPr>
              <w:spacing w:after="0"/>
              <w:rPr>
                <w:sz w:val="15"/>
                <w:szCs w:val="15"/>
                <w:color w:val="auto"/>
              </w:rPr>
            </w:pPr>
          </w:p>
        </w:tc>
        <w:tc>
          <w:tcPr>
            <w:tcW w:w="15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500" w:type="dxa"/>
            <w:vAlign w:val="bottom"/>
            <w:shd w:val="clear" w:color="auto" w:fill="CFF0FC"/>
          </w:tcPr>
          <w:p>
            <w:pPr>
              <w:jc w:val="right"/>
              <w:ind w:right="13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12,574</w:t>
            </w:r>
          </w:p>
        </w:tc>
        <w:tc>
          <w:tcPr>
            <w:tcW w:w="90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5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8"/>
                <w:szCs w:val="18"/>
                <w:color w:val="auto"/>
              </w:rPr>
            </w:pP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1500" w:type="dxa"/>
            <w:vAlign w:val="bottom"/>
            <w:shd w:val="clear" w:color="auto" w:fill="CFF0FC"/>
          </w:tcPr>
          <w:p>
            <w:pPr>
              <w:jc w:val="right"/>
              <w:ind w:right="13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90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FF0FC"/>
          </w:tcPr>
          <w:p>
            <w:pPr>
              <w:spacing w:after="0"/>
              <w:rPr>
                <w:sz w:val="19"/>
                <w:szCs w:val="19"/>
                <w:color w:val="auto"/>
              </w:rPr>
            </w:pP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finance leases as of March 22, 2026 and December 28, 2025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22,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73"/>
        </w:trPr>
        <w:tc>
          <w:tcPr>
            <w:tcW w:w="53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146,638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80,457</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18"/>
                <w:szCs w:val="18"/>
                <w:color w:val="auto"/>
              </w:rPr>
            </w:pPr>
          </w:p>
        </w:tc>
      </w:tr>
      <w:tr>
        <w:trPr>
          <w:trHeight w:val="210"/>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 assets</w:t>
            </w: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150,807</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84,682</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(32,908)</w:t>
            </w:r>
          </w:p>
        </w:tc>
      </w:tr>
      <w:tr>
        <w:trPr>
          <w:trHeight w:val="249"/>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Finance lease assets, net</w:t>
            </w:r>
          </w:p>
        </w:tc>
        <w:tc>
          <w:tcPr>
            <w:tcW w:w="2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116,629</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3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55,991</w:t>
            </w:r>
          </w:p>
        </w:tc>
        <w:tc>
          <w:tcPr>
            <w:tcW w:w="100" w:type="dxa"/>
            <w:vAlign w:val="bottom"/>
          </w:tcPr>
          <w:p>
            <w:pPr>
              <w:spacing w:after="0"/>
              <w:rPr>
                <w:sz w:val="18"/>
                <w:szCs w:val="18"/>
                <w:color w:val="auto"/>
              </w:rPr>
            </w:pPr>
          </w:p>
        </w:tc>
      </w:tr>
      <w:tr>
        <w:trPr>
          <w:trHeight w:val="249"/>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principal payable on finance leases</w:t>
            </w:r>
          </w:p>
        </w:tc>
        <w:tc>
          <w:tcPr>
            <w:tcW w:w="2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127,259</w:t>
            </w: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952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first quarters of 2026 and 2025 were as follows: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3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00" w:type="dxa"/>
            <w:vAlign w:val="bottom"/>
          </w:tcPr>
          <w:p>
            <w:pPr>
              <w:spacing w:after="0"/>
              <w:rPr>
                <w:sz w:val="24"/>
                <w:szCs w:val="24"/>
                <w:color w:val="auto"/>
              </w:rPr>
            </w:pPr>
          </w:p>
        </w:tc>
      </w:tr>
      <w:tr>
        <w:trPr>
          <w:trHeight w:val="227"/>
        </w:trPr>
        <w:tc>
          <w:tcPr>
            <w:tcW w:w="53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March 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23,</w:t>
            </w:r>
          </w:p>
        </w:tc>
      </w:tr>
      <w:tr>
        <w:trPr>
          <w:trHeight w:val="185"/>
        </w:trPr>
        <w:tc>
          <w:tcPr>
            <w:tcW w:w="53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11,211</w:t>
            </w:r>
          </w:p>
        </w:tc>
        <w:tc>
          <w:tcPr>
            <w:tcW w:w="14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10,113</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8"/>
                <w:szCs w:val="18"/>
                <w:color w:val="auto"/>
              </w:rPr>
            </w:pPr>
          </w:p>
        </w:tc>
      </w:tr>
      <w:tr>
        <w:trPr>
          <w:trHeight w:val="198"/>
        </w:trPr>
        <w:tc>
          <w:tcPr>
            <w:tcW w:w="5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obligation from sale leaseback:</w:t>
            </w:r>
          </w:p>
        </w:tc>
        <w:tc>
          <w:tcPr>
            <w:tcW w:w="2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sale leaseback</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cash flows from sale leaseback</w:t>
            </w: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30,377</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15,967</w:t>
            </w:r>
          </w:p>
        </w:tc>
        <w:tc>
          <w:tcPr>
            <w:tcW w:w="100" w:type="dxa"/>
            <w:vAlign w:val="bottom"/>
            <w:shd w:val="clear" w:color="auto" w:fill="CFF0FC"/>
          </w:tcPr>
          <w:p>
            <w:pPr>
              <w:spacing w:after="0"/>
              <w:rPr>
                <w:sz w:val="18"/>
                <w:szCs w:val="18"/>
                <w:color w:val="auto"/>
              </w:rPr>
            </w:pPr>
          </w:p>
        </w:tc>
      </w:tr>
      <w:tr>
        <w:trPr>
          <w:trHeight w:val="234"/>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65,589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5320" w:type="dxa"/>
            <w:vAlign w:val="bottom"/>
          </w:tcPr>
          <w:p>
            <w:pPr>
              <w:spacing w:after="0"/>
              <w:rPr>
                <w:sz w:val="24"/>
                <w:szCs w:val="24"/>
                <w:color w:val="auto"/>
              </w:rPr>
            </w:pPr>
          </w:p>
        </w:tc>
        <w:tc>
          <w:tcPr>
            <w:tcW w:w="224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-3651250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-3634105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-3068320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-3051175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As of March 22, 2026, the Company had additional leases for certain supply chain vehicles that had not yet commenced with estimated future minimum rental commitments of $12.6 million. These leases are expected to commence in 2026 with lease terms of up to 9 years. These undiscounted amounts will be included in the Company’s condensed consolidated balance sheet at the respective commencement dates.</w:t>
      </w:r>
    </w:p>
    <w:p>
      <w:pPr>
        <w:spacing w:after="0" w:line="68" w:lineRule="exact"/>
        <w:rPr>
          <w:sz w:val="20"/>
          <w:szCs w:val="20"/>
          <w:color w:val="auto"/>
        </w:rPr>
      </w:pPr>
    </w:p>
    <w:p>
      <w:pPr>
        <w:jc w:val="both"/>
        <w:ind w:right="300" w:firstLine="255"/>
        <w:spacing w:after="0" w:line="266"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$11.1 million and $12.6 million as of March 22, 2026 and December 28, 2025, respectively. The Company does not believe these arrangements have or are likely to have a material effect on its results of operations, financial condition, revenues, expenses or liquidity.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Supplemental Disclosures of Cash Flow Information</w:t>
      </w:r>
    </w:p>
    <w:p>
      <w:pPr>
        <w:spacing w:after="0" w:line="131" w:lineRule="exact"/>
        <w:rPr>
          <w:sz w:val="20"/>
          <w:szCs w:val="20"/>
          <w:color w:val="auto"/>
        </w:rPr>
      </w:pPr>
    </w:p>
    <w:p>
      <w:pPr>
        <w:jc w:val="both"/>
        <w:ind w:right="560" w:firstLine="255"/>
        <w:spacing w:after="0" w:line="266"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$4.0 million at March 22, 2026 and $2.4 million at December 28, 2025. The Company also had $0.5 million and $3.3 million in non-cash financing activity related to accruals for excise taxes on share repurchases as of March 22, 2026 and December 28, 2025, respectively.</w:t>
      </w:r>
    </w:p>
    <w:p>
      <w:pPr>
        <w:spacing w:after="0" w:line="135" w:lineRule="exact"/>
        <w:rPr>
          <w:sz w:val="20"/>
          <w:szCs w:val="20"/>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Acquisitions and Dispositions</w:t>
      </w:r>
    </w:p>
    <w:p>
      <w:pPr>
        <w:spacing w:after="0" w:line="130"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2026, the Company sold its fully depreciated corporate aircraft for net proceeds and a pre-tax realized gain of $7.8 million.</w:t>
      </w:r>
    </w:p>
    <w:p>
      <w:pPr>
        <w:spacing w:after="0" w:line="108" w:lineRule="exact"/>
        <w:rPr>
          <w:sz w:val="20"/>
          <w:szCs w:val="20"/>
          <w:color w:val="auto"/>
        </w:rPr>
      </w:pPr>
    </w:p>
    <w:p>
      <w:pPr>
        <w:jc w:val="both"/>
        <w:ind w:right="540" w:firstLine="255"/>
        <w:spacing w:after="0" w:line="265" w:lineRule="auto"/>
        <w:rPr>
          <w:sz w:val="20"/>
          <w:szCs w:val="20"/>
          <w:color w:val="auto"/>
        </w:rPr>
      </w:pPr>
      <w:r>
        <w:rPr>
          <w:rFonts w:ascii="Times New Roman" w:cs="Times New Roman" w:eastAsia="Times New Roman" w:hAnsi="Times New Roman"/>
          <w:sz w:val="18"/>
          <w:szCs w:val="18"/>
          <w:color w:val="auto"/>
        </w:rPr>
        <w:t>During the first quarter of 2025, the Company purchased two U.S. franchised stores from one of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former U.S. franchisees for $0.9 million, which was paid in the second quarter of 2025. The Company recorded $0.3 million of intangibles, $0.1 million of equipment and leasehold improvements and $0.5 million of goodwill.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New Accounting Pronouncements</w:t>
      </w:r>
    </w:p>
    <w:p>
      <w:pPr>
        <w:spacing w:after="0" w:line="117" w:lineRule="exact"/>
        <w:rPr>
          <w:sz w:val="20"/>
          <w:szCs w:val="20"/>
          <w:color w:val="auto"/>
        </w:rPr>
      </w:pPr>
    </w:p>
    <w:p>
      <w:pPr>
        <w:ind w:right="180" w:firstLine="255"/>
        <w:spacing w:after="0" w:line="282"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The Company has not yet adopted the following standards:</w:t>
      </w:r>
    </w:p>
    <w:p>
      <w:pPr>
        <w:spacing w:after="0" w:line="133" w:lineRule="exact"/>
        <w:rPr>
          <w:sz w:val="20"/>
          <w:szCs w:val="20"/>
          <w:color w:val="auto"/>
        </w:rPr>
      </w:pPr>
    </w:p>
    <w:p>
      <w:pPr>
        <w:ind w:left="460" w:right="420"/>
        <w:spacing w:after="0" w:line="284" w:lineRule="auto"/>
        <w:rPr>
          <w:sz w:val="20"/>
          <w:szCs w:val="20"/>
          <w:color w:val="auto"/>
        </w:rPr>
      </w:pPr>
      <w:r>
        <w:rPr>
          <w:rFonts w:ascii="Times New Roman" w:cs="Times New Roman" w:eastAsia="Times New Roman" w:hAnsi="Times New Roman"/>
          <w:sz w:val="18"/>
          <w:szCs w:val="18"/>
          <w:i w:val="1"/>
          <w:iCs w:val="1"/>
          <w:color w:val="auto"/>
        </w:rPr>
        <w:t>Accounting Standards Update (“ASU”) 2024-03, Income Statement – Reporting Comprehensive Income – Expense Disaggregation Disclosures (Subtopic 220-40)</w:t>
      </w:r>
    </w:p>
    <w:p>
      <w:pPr>
        <w:spacing w:after="0" w:line="64"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w:t>
      </w:r>
      <w:r>
        <w:rPr>
          <w:rFonts w:ascii="Times New Roman" w:cs="Times New Roman" w:eastAsia="Times New Roman" w:hAnsi="Times New Roman"/>
          <w:sz w:val="18"/>
          <w:szCs w:val="18"/>
          <w:i w:val="1"/>
          <w:iCs w:val="1"/>
          <w:color w:val="auto"/>
        </w:rPr>
        <w:t>ASU 2024-03, 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(“ASU 2024-03”)</w:t>
      </w:r>
      <w:r>
        <w:rPr>
          <w:rFonts w:ascii="Times New Roman" w:cs="Times New Roman" w:eastAsia="Times New Roman" w:hAnsi="Times New Roman"/>
          <w:sz w:val="18"/>
          <w:szCs w:val="18"/>
          <w:color w:val="auto"/>
        </w:rPr>
        <w:t>, which requires disclosure in the notes to the consolidated financial statements on an annual and interim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of purchases of inventory, employee compensation, depreciation and intangible asset amortization for all expense captions presented on the face of the consolidated statements of income. The standard also requires a qualitative description of the amounts remaining in those expense captions that are not separately disaggregated. The standard also requires disclosure of the composition and amount of selling expenses.</w:t>
      </w:r>
    </w:p>
    <w:p>
      <w:pPr>
        <w:spacing w:after="0" w:line="77" w:lineRule="exact"/>
        <w:rPr>
          <w:sz w:val="20"/>
          <w:szCs w:val="20"/>
          <w:color w:val="auto"/>
        </w:rPr>
      </w:pPr>
    </w:p>
    <w:p>
      <w:pPr>
        <w:ind w:right="240" w:firstLine="255"/>
        <w:spacing w:after="0" w:line="266" w:lineRule="auto"/>
        <w:rPr>
          <w:sz w:val="20"/>
          <w:szCs w:val="20"/>
          <w:color w:val="auto"/>
        </w:rPr>
      </w:pPr>
      <w:r>
        <w:rPr>
          <w:rFonts w:ascii="Times New Roman" w:cs="Times New Roman" w:eastAsia="Times New Roman" w:hAnsi="Times New Roman"/>
          <w:sz w:val="18"/>
          <w:szCs w:val="18"/>
          <w:color w:val="auto"/>
        </w:rPr>
        <w:t>ASU 2024-03 is effective for annual reporting fiscal years beginning after December 15, 2026 and interim periods within fiscal years beginning after December 15, 2027, and early adoption is permitted. The standard may be adopted either prospectively or retrospectively. The Company is currently evaluating the impact of this accounting standard on its condensed consolidated financial statements.</w:t>
      </w:r>
    </w:p>
    <w:p>
      <w:pPr>
        <w:spacing w:after="0" w:line="133" w:lineRule="exact"/>
        <w:rPr>
          <w:sz w:val="20"/>
          <w:szCs w:val="20"/>
          <w:color w:val="auto"/>
        </w:rPr>
      </w:pPr>
    </w:p>
    <w:p>
      <w:pPr>
        <w:ind w:left="460" w:right="120"/>
        <w:spacing w:after="0" w:line="284" w:lineRule="auto"/>
        <w:rPr>
          <w:sz w:val="20"/>
          <w:szCs w:val="20"/>
          <w:color w:val="auto"/>
        </w:rPr>
      </w:pPr>
      <w:r>
        <w:rPr>
          <w:rFonts w:ascii="Times New Roman" w:cs="Times New Roman" w:eastAsia="Times New Roman" w:hAnsi="Times New Roman"/>
          <w:sz w:val="18"/>
          <w:szCs w:val="18"/>
          <w:i w:val="1"/>
          <w:iCs w:val="1"/>
          <w:color w:val="auto"/>
        </w:rPr>
        <w:t>ASU 2025-06, Intangibles—Goodwill and Other—Internal-Use Software (Subtopic 350-40): Targeted Improvements to the Accounting for Internal-Use Software</w:t>
      </w:r>
    </w:p>
    <w:p>
      <w:pPr>
        <w:spacing w:after="0" w:line="64"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w:t>
      </w:r>
      <w:r>
        <w:rPr>
          <w:rFonts w:ascii="Times New Roman" w:cs="Times New Roman" w:eastAsia="Times New Roman" w:hAnsi="Times New Roman"/>
          <w:sz w:val="18"/>
          <w:szCs w:val="18"/>
          <w:i w:val="1"/>
          <w:iCs w:val="1"/>
          <w:color w:val="auto"/>
        </w:rPr>
        <w:t>ASU 2025-06, 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 (“ASU 2025-06”)</w:t>
      </w:r>
      <w:r>
        <w:rPr>
          <w:rFonts w:ascii="Times New Roman" w:cs="Times New Roman" w:eastAsia="Times New Roman" w:hAnsi="Times New Roman"/>
          <w:sz w:val="18"/>
          <w:szCs w:val="18"/>
          <w:color w:val="auto"/>
        </w:rPr>
        <w:t>, to modernize the accounting guidance for the costs to develop software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w:t>
      </w:r>
    </w:p>
    <w:p>
      <w:pPr>
        <w:spacing w:after="0" w:line="77" w:lineRule="exact"/>
        <w:rPr>
          <w:sz w:val="20"/>
          <w:szCs w:val="20"/>
          <w:color w:val="auto"/>
        </w:rPr>
      </w:pPr>
    </w:p>
    <w:p>
      <w:pPr>
        <w:jc w:val="both"/>
        <w:ind w:right="540" w:firstLine="255"/>
        <w:spacing w:after="0" w:line="266" w:lineRule="auto"/>
        <w:rPr>
          <w:sz w:val="20"/>
          <w:szCs w:val="20"/>
          <w:color w:val="auto"/>
        </w:rPr>
      </w:pPr>
      <w:r>
        <w:rPr>
          <w:rFonts w:ascii="Times New Roman" w:cs="Times New Roman" w:eastAsia="Times New Roman" w:hAnsi="Times New Roman"/>
          <w:sz w:val="18"/>
          <w:szCs w:val="18"/>
          <w:color w:val="auto"/>
        </w:rPr>
        <w:t>ASU 2025-06 guidance is effective for annual periods beginning after December 15, 2027. The guidance can be applied on a prospective basis, a modified basis for in-process projects or on a retrospective basis. The Company is currently evaluating the impact of this accounting standard on its condensed consolidated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tabular amounts in millions, except percentages and store data)</w:t>
      </w:r>
    </w:p>
    <w:p>
      <w:pPr>
        <w:spacing w:after="0" w:line="99"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The 2026 and 2025 first quarters referenced herein represent the twelve-week periods ended March 22, 2026 and March 23, 2025, respectively. In this section, we discuss the results of our operations for the first quarter of 2026 as compared to the first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40" w:firstLine="281"/>
        <w:spacing w:after="0" w:line="255"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22,300 locations in over 90 markets around the world as of March 22, 2026, and operates two distinct service models within its stores, with a significant business in both delivery and carryout. We are a highly recognized global brand, and we focus on value while serving neighborhoods locally through our large worldwide network of franchise owners and U.S. Company-owned stores through both the delivery and carryout service models. We have been selling quality, affordable food to our customers since 1960. We became “Domino’s Pizza” in 1965 and opened our first franchised store in 1967. For more than 65 years, we have built Domino’s into one of the most widely-recognized consumer brands in the world. We believe our commitment to value, convenience, quality and new products continues to keep consumers engaged with the brand.</w:t>
      </w:r>
    </w:p>
    <w:p>
      <w:pPr>
        <w:spacing w:after="0" w:line="94" w:lineRule="exact"/>
        <w:rPr>
          <w:sz w:val="20"/>
          <w:szCs w:val="20"/>
          <w:color w:val="auto"/>
        </w:rPr>
      </w:pPr>
    </w:p>
    <w:p>
      <w:pPr>
        <w:jc w:val="both"/>
        <w:ind w:right="80" w:firstLine="281"/>
        <w:spacing w:after="0" w:line="266" w:lineRule="auto"/>
        <w:rPr>
          <w:sz w:val="20"/>
          <w:szCs w:val="20"/>
          <w:color w:val="auto"/>
        </w:rPr>
      </w:pPr>
      <w:r>
        <w:rPr>
          <w:rFonts w:ascii="Times New Roman" w:cs="Times New Roman" w:eastAsia="Times New Roman" w:hAnsi="Times New Roman"/>
          <w:sz w:val="18"/>
          <w:szCs w:val="18"/>
          <w:color w:val="auto"/>
        </w:rPr>
        <w:t>We are primarily a franchisor, with approximately 99% of Domino’s global stores owned and operated by our independent franchisees as of March 22, 2026. Franchising enables an individual to be a business owner and maintain control over all employment-related matters and pricing decisions, while also benefiting from the strength of the Domino’s global brand and operating system with limited capital investment by us.</w:t>
      </w:r>
    </w:p>
    <w:p>
      <w:pPr>
        <w:spacing w:after="0" w:line="81" w:lineRule="exact"/>
        <w:rPr>
          <w:sz w:val="20"/>
          <w:szCs w:val="20"/>
          <w:color w:val="auto"/>
        </w:rPr>
      </w:pPr>
    </w:p>
    <w:p>
      <w:pPr>
        <w:ind w:right="60" w:firstLine="281"/>
        <w:spacing w:after="0" w:line="266" w:lineRule="auto"/>
        <w:rPr>
          <w:sz w:val="20"/>
          <w:szCs w:val="20"/>
          <w:color w:val="auto"/>
        </w:rPr>
      </w:pPr>
      <w:r>
        <w:rPr>
          <w:rFonts w:ascii="Times New Roman" w:cs="Times New Roman" w:eastAsia="Times New Roman" w:hAnsi="Times New Roman"/>
          <w:sz w:val="18"/>
          <w:szCs w:val="18"/>
          <w:color w:val="auto"/>
        </w:rPr>
        <w:t>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1" w:lineRule="exact"/>
        <w:rPr>
          <w:sz w:val="20"/>
          <w:szCs w:val="20"/>
          <w:color w:val="auto"/>
        </w:rPr>
      </w:pPr>
    </w:p>
    <w:p>
      <w:pPr>
        <w:ind w:right="80" w:firstLine="281"/>
        <w:spacing w:after="0" w:line="249" w:lineRule="auto"/>
        <w:rPr>
          <w:sz w:val="20"/>
          <w:szCs w:val="20"/>
          <w:color w:val="auto"/>
        </w:rPr>
      </w:pPr>
      <w:r>
        <w:rPr>
          <w:rFonts w:ascii="Times New Roman" w:cs="Times New Roman" w:eastAsia="Times New Roman" w:hAnsi="Times New Roman"/>
          <w:sz w:val="17"/>
          <w:szCs w:val="17"/>
          <w:color w:val="auto"/>
        </w:rPr>
        <w:t>Domino’s generates revenues and earnings by charging royalties and fees to our franchisees. Royalties are ongoing percent-of-sales fees for use of the Domino’s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brand marks. We also generate revenues and earnings by selling food and, to a lesser extent, other products to franchisees through our supply chain operations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brand to master franchisees. These master franchisees are charged with developing their geographical area, and they may profit by sub-franchising and selling food and, to a lesser extent, other products to those sub-franchisees, as well as by running pizza stores. We believe that everyone in the system can benefit from the franchise model, including the end consumer, who can purchase Domino’s menu items for themselves and their family conveniently and economically.</w:t>
      </w:r>
    </w:p>
    <w:p>
      <w:pPr>
        <w:spacing w:after="0" w:line="98" w:lineRule="exact"/>
        <w:rPr>
          <w:sz w:val="20"/>
          <w:szCs w:val="20"/>
          <w:color w:val="auto"/>
        </w:rPr>
      </w:pPr>
    </w:p>
    <w:p>
      <w:pPr>
        <w:ind w:right="40" w:firstLine="281"/>
        <w:spacing w:after="0" w:line="256" w:lineRule="auto"/>
        <w:rPr>
          <w:sz w:val="20"/>
          <w:szCs w:val="20"/>
          <w:color w:val="auto"/>
        </w:rPr>
      </w:pPr>
      <w:r>
        <w:rPr>
          <w:rFonts w:ascii="Times New Roman" w:cs="Times New Roman" w:eastAsia="Times New Roman" w:hAnsi="Times New Roman"/>
          <w:sz w:val="18"/>
          <w:szCs w:val="18"/>
          <w:color w:val="auto"/>
        </w:rPr>
        <w:t>Domino’s business model can yield strong returns for our franchise owners and the Company. It can also yield significant cash flows to us, through consistent franchise royalty and supply chain revenue streams, all within an asset-light model. We have historically returned cash to shareholders through dividend payments and share repurchases. Domino’s financial results are driven largely by retail sales at our stores. Changes in retail sales are primarily driven by same store sales growth and net store growth. We actively monitor both of these metrics, as they directly impact our revenues and profits, and we strive to consistently increase both metrics. Retail sales drive royalty payments from franchisees, as well as Company-owned store and supply chain revenues.</w:t>
      </w:r>
    </w:p>
    <w:p>
      <w:pPr>
        <w:spacing w:after="0" w:line="93" w:lineRule="exact"/>
        <w:rPr>
          <w:sz w:val="20"/>
          <w:szCs w:val="20"/>
          <w:color w:val="auto"/>
        </w:rPr>
      </w:pPr>
    </w:p>
    <w:p>
      <w:pPr>
        <w:ind w:right="140" w:firstLine="281"/>
        <w:spacing w:after="0" w:line="266" w:lineRule="auto"/>
        <w:rPr>
          <w:sz w:val="20"/>
          <w:szCs w:val="20"/>
          <w:color w:val="auto"/>
        </w:rPr>
      </w:pPr>
      <w:r>
        <w:rPr>
          <w:rFonts w:ascii="Times New Roman" w:cs="Times New Roman" w:eastAsia="Times New Roman" w:hAnsi="Times New Roman"/>
          <w:sz w:val="18"/>
          <w:szCs w:val="18"/>
          <w:color w:val="auto"/>
        </w:rPr>
        <w:t>At Domino’s, we believe we have a proven business model for success that has historically driven strong returns for our shareholders. Our Hungry for MORE strategy aims to generate MORE sales, MORE stores and MORE profits. The strategic imperatives of our Hungry for MORE strategy are as follows:</w:t>
      </w:r>
    </w:p>
    <w:p>
      <w:pPr>
        <w:spacing w:after="0" w:line="79" w:lineRule="exact"/>
        <w:rPr>
          <w:sz w:val="20"/>
          <w:szCs w:val="20"/>
          <w:color w:val="auto"/>
        </w:rPr>
      </w:pPr>
    </w:p>
    <w:p>
      <w:pPr>
        <w:ind w:left="260" w:right="2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Most Delicious Food: </w:t>
      </w:r>
      <w:r>
        <w:rPr>
          <w:rFonts w:ascii="Times New Roman" w:cs="Times New Roman" w:eastAsia="Times New Roman" w:hAnsi="Times New Roman"/>
          <w:sz w:val="18"/>
          <w:szCs w:val="18"/>
          <w:color w:val="auto"/>
        </w:rPr>
        <w:t>We believe we have the best pizza in the industry, and our menu has even more mouthwatering options beyond pizza.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showcase the breadth of our menu, while highlighting the deliciousness of our food through our innovative marketing promotions.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Operational Excellence: </w:t>
      </w:r>
      <w:r>
        <w:rPr>
          <w:rFonts w:ascii="Times New Roman" w:cs="Times New Roman" w:eastAsia="Times New Roman" w:hAnsi="Times New Roman"/>
          <w:sz w:val="18"/>
          <w:szCs w:val="18"/>
          <w:color w:val="auto"/>
        </w:rPr>
        <w:t>We are relentless in our focus on convenience, consistency and efficiency for our customers.</w:t>
      </w:r>
    </w:p>
    <w:p>
      <w:pPr>
        <w:spacing w:after="0" w:line="131" w:lineRule="exact"/>
        <w:rPr>
          <w:sz w:val="20"/>
          <w:szCs w:val="20"/>
          <w:color w:val="auto"/>
        </w:rPr>
      </w:pPr>
    </w:p>
    <w:p>
      <w:pPr>
        <w:ind w:left="260" w:right="7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Renowned Value: </w:t>
      </w:r>
      <w:r>
        <w:rPr>
          <w:rFonts w:ascii="Times New Roman" w:cs="Times New Roman" w:eastAsia="Times New Roman" w:hAnsi="Times New Roman"/>
          <w:sz w:val="18"/>
          <w:szCs w:val="18"/>
          <w:color w:val="auto"/>
        </w:rPr>
        <w:t>We are committed to continuing to offer competitive pricing and personalized value for our customers that is innovative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memorable.</w:t>
      </w:r>
    </w:p>
    <w:p>
      <w:pPr>
        <w:spacing w:after="0" w:line="64" w:lineRule="exact"/>
        <w:rPr>
          <w:sz w:val="20"/>
          <w:szCs w:val="20"/>
          <w:color w:val="auto"/>
        </w:rPr>
      </w:pPr>
    </w:p>
    <w:p>
      <w:pPr>
        <w:ind w:left="2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Enhanced by Best-in-Class Franchisees: </w:t>
      </w:r>
      <w:r>
        <w:rPr>
          <w:rFonts w:ascii="Times New Roman" w:cs="Times New Roman" w:eastAsia="Times New Roman" w:hAnsi="Times New Roman"/>
          <w:sz w:val="18"/>
          <w:szCs w:val="18"/>
          <w:color w:val="auto"/>
        </w:rPr>
        <w:t>Our franchisees play a vital role in driving results and excitement across the more than 90 markets in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First Quarter of 2026 Highlights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discussed above, our Hungry for MORE strategy aims to generate MORE sales, MORE stores and MORE profits.</w:t>
      </w:r>
    </w:p>
    <w:p>
      <w:pPr>
        <w:spacing w:after="0" w:line="225" w:lineRule="exact"/>
        <w:rPr>
          <w:sz w:val="20"/>
          <w:szCs w:val="20"/>
          <w:color w:val="auto"/>
        </w:rPr>
      </w:pPr>
    </w:p>
    <w:p>
      <w:pPr>
        <w:ind w:left="760" w:right="180" w:hanging="378"/>
        <w:spacing w:after="0" w:line="255"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Sales: Global retail sales, excluding foreign currency impact (which includes total retail sales at Company-owned and franchised stores worldwide), increased 3.4% as compared to the first quarter of 2025. U.S. retail sales increased 2.8% and international retail sales, excluding foreign currency impact, increased 4.0% as compared to the first quarter of 2025. Same store sales increased 0.9% in our U.S. stores and declined 0.4% in our international stores (excluding foreign currency impact).</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Stores: Global net store growth of 180, including 19 net store openings in the U.S. and 161 net store openings internationally.</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Profits: Income from operations increased 9.6%.</w:t>
      </w:r>
    </w:p>
    <w:p>
      <w:pPr>
        <w:spacing w:after="0" w:line="207"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Excluding the positive impact of foreign currency, Domino’s experienced global retail sales growth during the first quarter of 2026, driven by same store sales growth in the U.S. and net store growth in both our U.S. and international businesses. These factors, as well as gross margin dollar improvement within supply chain and a pre-tax realized gain on the sale of our fully depreciated corporate aircraft, also contributed to an increase in income from operations. Overall, we believe our global retail sales growth, excluding foreign currency impact, marketing initiatives, operations and emphasis on technology have combined to strengthen our brand. These financial and statistical measures are described in additional detail below.</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Statistical Measures</w:t>
      </w:r>
    </w:p>
    <w:p>
      <w:pPr>
        <w:spacing w:after="0" w:line="229" w:lineRule="exact"/>
        <w:rPr>
          <w:sz w:val="20"/>
          <w:szCs w:val="20"/>
          <w:color w:val="auto"/>
        </w:rPr>
      </w:pPr>
    </w:p>
    <w:p>
      <w:pPr>
        <w:ind w:right="60" w:firstLine="255"/>
        <w:spacing w:after="0" w:line="282"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w:t>
      </w:r>
    </w:p>
    <w:p>
      <w:pPr>
        <w:spacing w:after="0" w:line="229"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Global retail sales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and we believe they are indicative of the financial health of our franchisee base. In addition, supply chain revenues are directly impacted by changes in franchise retail sales in the U.S. and Canada. As a result, sales by Domino’s franchisees have a direct effect on our profitability. Retail sales for franchised stores are reported to us by our franchisees and are not included in our revenues. The amounts below are presented in millions of U.S. dollars.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3"/>
        </w:trPr>
        <w:tc>
          <w:tcPr>
            <w:tcW w:w="46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2025</w:t>
            </w: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Global retail sales:</w:t>
            </w:r>
          </w:p>
        </w:tc>
        <w:tc>
          <w:tcPr>
            <w:tcW w:w="3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stores</w:t>
            </w:r>
          </w:p>
        </w:tc>
        <w:tc>
          <w:tcPr>
            <w:tcW w:w="3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2,302.6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2,240.8</w:t>
            </w:r>
          </w:p>
        </w:tc>
      </w:tr>
      <w:tr>
        <w:trPr>
          <w:trHeight w:val="216"/>
        </w:trPr>
        <w:tc>
          <w:tcPr>
            <w:tcW w:w="4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International stores</w:t>
            </w:r>
          </w:p>
        </w:tc>
        <w:tc>
          <w:tcPr>
            <w:tcW w:w="3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2,437.1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2,223.5</w:t>
            </w:r>
          </w:p>
        </w:tc>
      </w:tr>
      <w:tr>
        <w:trPr>
          <w:trHeight w:val="20"/>
        </w:trPr>
        <w:tc>
          <w:tcPr>
            <w:tcW w:w="4660" w:type="dxa"/>
            <w:vAlign w:val="bottom"/>
            <w:shd w:val="clear" w:color="auto" w:fill="CFF0FC"/>
          </w:tcPr>
          <w:p>
            <w:pPr>
              <w:spacing w:after="0" w:line="20" w:lineRule="exact"/>
              <w:rPr>
                <w:sz w:val="1"/>
                <w:szCs w:val="1"/>
                <w:color w:val="auto"/>
              </w:rPr>
            </w:pPr>
          </w:p>
        </w:tc>
        <w:tc>
          <w:tcPr>
            <w:tcW w:w="3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4,739.7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-156845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229" w:lineRule="exact"/>
        <w:rPr>
          <w:sz w:val="20"/>
          <w:szCs w:val="20"/>
          <w:color w:val="auto"/>
        </w:rPr>
      </w:pPr>
    </w:p>
    <w:p>
      <w:pPr>
        <w:jc w:val="both"/>
        <w:ind w:right="300" w:firstLine="255"/>
        <w:spacing w:after="0" w:line="261"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growth, excluding foreign currency impact is calculated as the change of international local currency global retail sales against the comparable period of the prior year. Changes in global retail sales growth, excluding foreign currency impact are primarily driven by same store sales growth and net store growth.</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78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00" w:type="dxa"/>
            <w:vAlign w:val="bottom"/>
          </w:tcPr>
          <w:p>
            <w:pPr>
              <w:spacing w:after="0"/>
              <w:rPr>
                <w:sz w:val="13"/>
                <w:szCs w:val="13"/>
                <w:color w:val="auto"/>
              </w:rPr>
            </w:pP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3"/>
        </w:trPr>
        <w:tc>
          <w:tcPr>
            <w:tcW w:w="47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7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220" w:type="dxa"/>
            <w:vAlign w:val="bottom"/>
          </w:tcPr>
          <w:p>
            <w:pPr>
              <w:spacing w:after="0"/>
              <w:rPr>
                <w:sz w:val="15"/>
                <w:szCs w:val="15"/>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stores</w:t>
            </w:r>
          </w:p>
        </w:tc>
        <w:tc>
          <w:tcPr>
            <w:tcW w:w="4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+ 2.8%</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w:t>
            </w:r>
          </w:p>
        </w:tc>
        <w:tc>
          <w:tcPr>
            <w:tcW w:w="2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27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+ 4.0%</w:t>
            </w:r>
          </w:p>
        </w:tc>
        <w:tc>
          <w:tcPr>
            <w:tcW w:w="10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+ 8.2%</w:t>
            </w:r>
          </w:p>
        </w:tc>
        <w:tc>
          <w:tcPr>
            <w:tcW w:w="220" w:type="dxa"/>
            <w:vAlign w:val="bottom"/>
          </w:tcPr>
          <w:p>
            <w:pPr>
              <w:spacing w:after="0"/>
              <w:rPr>
                <w:sz w:val="18"/>
                <w:szCs w:val="18"/>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(excluding foreign currency impact)</w:t>
            </w:r>
          </w:p>
        </w:tc>
        <w:tc>
          <w:tcPr>
            <w:tcW w:w="4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+ 3.4%</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+ 4.7%</w:t>
            </w:r>
          </w:p>
        </w:tc>
        <w:tc>
          <w:tcPr>
            <w:tcW w:w="220" w:type="dxa"/>
            <w:vAlign w:val="bottom"/>
          </w:tcPr>
          <w:p>
            <w:pPr>
              <w:spacing w:after="0"/>
              <w:rPr>
                <w:sz w:val="18"/>
                <w:szCs w:val="18"/>
                <w:color w:val="auto"/>
              </w:rPr>
            </w:pPr>
          </w:p>
        </w:tc>
      </w:tr>
      <w:tr>
        <w:trPr>
          <w:trHeight w:val="446"/>
        </w:trPr>
        <w:tc>
          <w:tcPr>
            <w:tcW w:w="4780" w:type="dxa"/>
            <w:vAlign w:val="bottom"/>
          </w:tcPr>
          <w:p>
            <w:pPr>
              <w:spacing w:after="0"/>
              <w:rPr>
                <w:sz w:val="24"/>
                <w:szCs w:val="24"/>
                <w:color w:val="auto"/>
              </w:rPr>
            </w:pPr>
          </w:p>
        </w:tc>
        <w:tc>
          <w:tcPr>
            <w:tcW w:w="270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16</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229"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0" w:type="dxa"/>
            <w:vAlign w:val="bottom"/>
          </w:tcPr>
          <w:p>
            <w:pPr>
              <w:spacing w:after="0"/>
              <w:rPr>
                <w:sz w:val="13"/>
                <w:szCs w:val="13"/>
                <w:color w:val="auto"/>
              </w:rPr>
            </w:pPr>
          </w:p>
        </w:tc>
        <w:tc>
          <w:tcPr>
            <w:tcW w:w="168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3"/>
        </w:trPr>
        <w:tc>
          <w:tcPr>
            <w:tcW w:w="7620" w:type="dxa"/>
            <w:vAlign w:val="bottom"/>
          </w:tcPr>
          <w:p>
            <w:pPr>
              <w:spacing w:after="0"/>
              <w:rPr>
                <w:sz w:val="15"/>
                <w:szCs w:val="15"/>
                <w:color w:val="auto"/>
              </w:rPr>
            </w:pPr>
          </w:p>
        </w:tc>
        <w:tc>
          <w:tcPr>
            <w:tcW w:w="18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of 2025</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Company-owned stores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stores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+ 0.8%</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stores</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+ 0.9%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+ 3.7%</w:t>
            </w:r>
          </w:p>
        </w:tc>
      </w:tr>
    </w:tbl>
    <w:p>
      <w:pPr>
        <w:spacing w:after="0" w:line="85"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8"/>
          <w:szCs w:val="18"/>
          <w:color w:val="auto"/>
        </w:rPr>
        <w:t>U.S. same store sales increased 0.9% in the first quarter of 2026, rolling over a decline in U.S. same store sales of 0.5% in the first quarter of 2025. The increase in U.S. same store sales was driven by both higher average ticket and higher customer transaction counts. International same store sales (excluding foreign currency impact) declined 0.4% in the first quarter of 2026, rolling over an increase in international same store sales (excluding foreign currency impact) of 3.7% in the first quarter of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Growth Activity</w:t>
      </w:r>
    </w:p>
    <w:p>
      <w:pPr>
        <w:spacing w:after="0" w:line="229" w:lineRule="exact"/>
        <w:rPr>
          <w:sz w:val="20"/>
          <w:szCs w:val="20"/>
          <w:color w:val="auto"/>
        </w:rPr>
      </w:pPr>
    </w:p>
    <w:p>
      <w:pPr>
        <w:ind w:right="280" w:firstLine="255"/>
        <w:spacing w:after="0" w:line="266" w:lineRule="auto"/>
        <w:rPr>
          <w:sz w:val="20"/>
          <w:szCs w:val="20"/>
          <w:color w:val="auto"/>
        </w:rPr>
      </w:pPr>
      <w:r>
        <w:rPr>
          <w:rFonts w:ascii="Times New Roman" w:cs="Times New Roman" w:eastAsia="Times New Roman" w:hAnsi="Times New Roman"/>
          <w:sz w:val="18"/>
          <w:szCs w:val="18"/>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9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9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9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260" w:type="dxa"/>
            <w:vAlign w:val="bottom"/>
            <w:gridSpan w:val="2"/>
            <w:vMerge w:val="continue"/>
          </w:tcPr>
          <w:p>
            <w:pPr>
              <w:spacing w:after="0"/>
              <w:rPr>
                <w:sz w:val="12"/>
                <w:szCs w:val="12"/>
                <w:color w:val="auto"/>
              </w:rPr>
            </w:pPr>
          </w:p>
        </w:tc>
        <w:tc>
          <w:tcPr>
            <w:tcW w:w="13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96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0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Store count at December 28, 2025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262</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Closings</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Store count at March 22, 2026</w:t>
            </w:r>
          </w:p>
        </w:tc>
        <w:tc>
          <w:tcPr>
            <w:tcW w:w="9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262</w:t>
            </w:r>
          </w:p>
        </w:tc>
        <w:tc>
          <w:tcPr>
            <w:tcW w:w="2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2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20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First quarter 2026 net store growth</w:t>
            </w:r>
          </w:p>
        </w:tc>
        <w:tc>
          <w:tcPr>
            <w:tcW w:w="9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Trailing four quarters net store growth</w:t>
            </w: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20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174</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790</w:t>
            </w: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-959485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-942340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-959485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-942340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-959485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-942340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-959485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-942340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gridSpan w:val="3"/>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5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U.S. Company-owned stores</w:t>
            </w:r>
          </w:p>
        </w:tc>
        <w:tc>
          <w:tcPr>
            <w:tcW w:w="19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U.S. franchise royalties and fees</w:t>
            </w: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158.0</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151.0</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Supply chain</w:t>
            </w: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699.0</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669.9</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International franchise royalties and fees</w:t>
            </w: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81.0</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U.S. franchise advertising</w:t>
            </w:r>
          </w:p>
        </w:tc>
        <w:tc>
          <w:tcPr>
            <w:tcW w:w="15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w:t>
            </w: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1,150.6</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1,112.1</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U.S. Company-owned stores</w:t>
            </w: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tcBorders>
              <w:right w:val="single" w:sz="8" w:color="CFF0FC"/>
            </w:tcBorders>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76.9</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Supply chain</w:t>
            </w:r>
          </w:p>
        </w:tc>
        <w:tc>
          <w:tcPr>
            <w:tcW w:w="15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614.0</w:t>
            </w:r>
          </w:p>
        </w:tc>
        <w:tc>
          <w:tcPr>
            <w:tcW w:w="2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592.0</w:t>
            </w:r>
          </w:p>
        </w:tc>
        <w:tc>
          <w:tcPr>
            <w:tcW w:w="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686.1</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59.6%</w:t>
            </w: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668.9</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Gross margin</w:t>
            </w: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464.5</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40.4%</w:t>
            </w:r>
          </w:p>
        </w:tc>
        <w:tc>
          <w:tcPr>
            <w:tcW w:w="4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443.1</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39.8%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111.4</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109.1</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franchise advertising</w:t>
            </w: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130.5</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Gain on sale of assets</w:t>
            </w: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52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400" w:type="dxa"/>
            <w:vAlign w:val="bottom"/>
            <w:shd w:val="clear" w:color="auto" w:fill="CFF0FC"/>
          </w:tcPr>
          <w:p>
            <w:pPr>
              <w:spacing w:after="0"/>
              <w:rPr>
                <w:sz w:val="12"/>
                <w:szCs w:val="12"/>
                <w:color w:val="auto"/>
              </w:rPr>
            </w:pPr>
          </w:p>
        </w:tc>
        <w:tc>
          <w:tcPr>
            <w:tcW w:w="1580" w:type="dxa"/>
            <w:vAlign w:val="bottom"/>
            <w:gridSpan w:val="3"/>
            <w:shd w:val="clear" w:color="auto" w:fill="CFF0FC"/>
          </w:tcPr>
          <w:p>
            <w:pPr>
              <w:jc w:val="right"/>
              <w:ind w:right="8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1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230.4</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20.0%</w:t>
            </w:r>
          </w:p>
        </w:tc>
        <w:tc>
          <w:tcPr>
            <w:tcW w:w="4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210.1</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52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net</w:t>
            </w: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5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4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5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15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180.6</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8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4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192.5</w:t>
            </w: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1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40.8</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4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9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w:t>
            </w:r>
          </w:p>
        </w:tc>
        <w:tc>
          <w:tcPr>
            <w:tcW w:w="1980" w:type="dxa"/>
            <w:vAlign w:val="bottom"/>
            <w:gridSpan w:val="2"/>
            <w:shd w:val="clear" w:color="auto" w:fill="CFF0FC"/>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139.8</w:t>
            </w:r>
          </w:p>
        </w:tc>
        <w:tc>
          <w:tcPr>
            <w:tcW w:w="2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880" w:type="dxa"/>
            <w:vAlign w:val="bottom"/>
            <w:tcBorders>
              <w:right w:val="single" w:sz="8" w:color="CFF0FC"/>
            </w:tcBorders>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12.2%</w:t>
            </w:r>
          </w:p>
        </w:tc>
        <w:tc>
          <w:tcPr>
            <w:tcW w:w="400" w:type="dxa"/>
            <w:vAlign w:val="bottom"/>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149.7</w:t>
            </w:r>
          </w:p>
        </w:tc>
        <w:tc>
          <w:tcPr>
            <w:tcW w:w="2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-1002030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-1002030</wp:posOffset>
            </wp:positionV>
            <wp:extent cx="1200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-1002030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-1002030</wp:posOffset>
            </wp:positionV>
            <wp:extent cx="1200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1200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1200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200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200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3"/>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3"/>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5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195"/>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Company-owned stores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Supply chain</w:t>
            </w: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3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55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8" w:lineRule="exact"/>
        <w:rPr>
          <w:sz w:val="20"/>
          <w:szCs w:val="20"/>
          <w:color w:val="auto"/>
        </w:rPr>
      </w:pPr>
    </w:p>
    <w:p>
      <w:pPr>
        <w:ind w:right="200" w:firstLine="255"/>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and fees and advertising contributions from our U.S. franchised stores, royalties and fees from our international franchised stores and sales of food and, to a lesser extent, other products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75"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Consolidated revenues increased $38.5 million, or 3.5%, in the first quarter of 2026 as compared to the first quarter of 2025, primarily due to higher supply chain revenues and higher global franchise royalties and advertising revenues. The increase in supply chain revenues was primarily attributable to an increase in our food basket pricing to stores and higher order volumes, but these increases were partially offset by a shift in the relative mix of products we sell. The increases in U.S. franchise royalties and advertising revenues were driven primarily by net store growth during the trailing four quarters and higher same store sales. International franchise royalties increased primarily due to the positive impact of foreign currency exchange rates on international franchise royalty revenues of $3.6 million, as well as net store growth during the trailing four quarters. These changes in revenues are described in more detail below.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Stores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5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Company-owned stores</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5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franchise advertising</w:t>
            </w: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r>
      <w:tr>
        <w:trPr>
          <w:trHeight w:val="20"/>
        </w:trPr>
        <w:tc>
          <w:tcPr>
            <w:tcW w:w="55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0"/>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U.S. stores revenues</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-170815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Company-owned Stores</w:t>
      </w:r>
    </w:p>
    <w:p>
      <w:pPr>
        <w:spacing w:after="0" w:line="133" w:lineRule="exact"/>
        <w:rPr>
          <w:sz w:val="20"/>
          <w:szCs w:val="20"/>
          <w:color w:val="auto"/>
        </w:rPr>
      </w:pPr>
    </w:p>
    <w:p>
      <w:pPr>
        <w:ind w:right="920" w:firstLine="255"/>
        <w:spacing w:after="0" w:line="282" w:lineRule="auto"/>
        <w:rPr>
          <w:sz w:val="20"/>
          <w:szCs w:val="20"/>
          <w:color w:val="auto"/>
        </w:rPr>
      </w:pPr>
      <w:r>
        <w:rPr>
          <w:rFonts w:ascii="Times New Roman" w:cs="Times New Roman" w:eastAsia="Times New Roman" w:hAnsi="Times New Roman"/>
          <w:sz w:val="18"/>
          <w:szCs w:val="18"/>
          <w:color w:val="auto"/>
        </w:rPr>
        <w:t>Revenues from U.S. Company-owned store operations decreased $9.5 million, or 10.4%, in the first quarter of 2026 primarily driven by the refranchising of the Maryland market in May 2025. This decrease was partially offset by higher same store sales.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U.S. Company-owned same store sales increased 1.5% in the first quarter of 2026 and declined 2.9% in the first quarter of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Royalties and Fees</w:t>
      </w:r>
    </w:p>
    <w:p>
      <w:pPr>
        <w:spacing w:after="0" w:line="133" w:lineRule="exact"/>
        <w:rPr>
          <w:sz w:val="20"/>
          <w:szCs w:val="20"/>
          <w:color w:val="auto"/>
        </w:rPr>
      </w:pPr>
    </w:p>
    <w:p>
      <w:pPr>
        <w:ind w:right="120" w:firstLine="255"/>
        <w:spacing w:after="0" w:line="282" w:lineRule="auto"/>
        <w:rPr>
          <w:sz w:val="20"/>
          <w:szCs w:val="20"/>
          <w:color w:val="auto"/>
        </w:rPr>
      </w:pPr>
      <w:r>
        <w:rPr>
          <w:rFonts w:ascii="Times New Roman" w:cs="Times New Roman" w:eastAsia="Times New Roman" w:hAnsi="Times New Roman"/>
          <w:sz w:val="18"/>
          <w:szCs w:val="18"/>
          <w:color w:val="auto"/>
        </w:rPr>
        <w:t>Revenues from U.S. franchise royalties and fees increased $7.0 million, or 4.6%, in the first quarter of 2026 primarily due to an increase in the average number of U.S. franchised stores open during the period resulting from net store growth and higher same store sales.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U.S. franchise same store sales increased 0.8% in the first quarter of 2026 and declined 0.4% in the first quarter of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Franchise Advertising</w:t>
      </w:r>
    </w:p>
    <w:p>
      <w:pPr>
        <w:spacing w:after="0" w:line="133" w:lineRule="exact"/>
        <w:rPr>
          <w:sz w:val="20"/>
          <w:szCs w:val="20"/>
          <w:color w:val="auto"/>
        </w:rPr>
      </w:pPr>
    </w:p>
    <w:p>
      <w:pPr>
        <w:ind w:right="200" w:firstLine="284"/>
        <w:spacing w:after="0" w:line="282" w:lineRule="auto"/>
        <w:rPr>
          <w:sz w:val="20"/>
          <w:szCs w:val="20"/>
          <w:color w:val="auto"/>
        </w:rPr>
      </w:pPr>
      <w:r>
        <w:rPr>
          <w:rFonts w:ascii="Times New Roman" w:cs="Times New Roman" w:eastAsia="Times New Roman" w:hAnsi="Times New Roman"/>
          <w:sz w:val="18"/>
          <w:szCs w:val="18"/>
          <w:color w:val="auto"/>
        </w:rPr>
        <w:t>Revenues from U.S. franchise advertising increased $6.6 million, or 5.3%, in the first quarter of 2026 primarily due to an increase in the average number of U.S. franchised stores open during the period resulting from net store growth, a decrease in advertising incentives and higher same store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w:t>
      </w:r>
    </w:p>
    <w:p>
      <w:pPr>
        <w:spacing w:after="0" w:line="135"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Supply chain revenues increased $29.0 million, or 4.3%, in the first quarter of 2026 primarily due to an increase in our food basket pricing to stores and higher order volumes, but these increases were partially offset by a shift in the relative mix of products we sell. Our food basket pricing to stores increased 2.6% in the first quarter of 2026, which resulted in an estimated $16 million increase in supply chain revenues. The food basket pricing change, a statistical measure utilized by management, is calculated as the percentage change of the food basket (including both food and cardboard products) purchased by an average U.S. store (based on average weekly unit sales) from our U.S. supply chain centers against the comparable period of the prior year. We believe this measure is important to understanding Company performance because as our food basket prices fluctuate, our revenues, cost of sales and gross margin percentages in our supply chain segment also fluctuate.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International Franchise Royalties and Fee Revenues</w:t>
      </w:r>
    </w:p>
    <w:p>
      <w:pPr>
        <w:spacing w:after="0" w:line="12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Revenues from international franchise royalties and fees increased $5.4 million, or 7.2%, in the first quarter of 2026 primarily due to the positive impact of changes in foreign currency exchange rates of approximately $3.6 million, as well as an increase in the average number of international franchised stores open during the period resulting from net store growth. These increases were partially offset by a decline in international same store sales (excluding foreign currency impact) in the first quarter of 2026.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84" w:lineRule="exact"/>
        <w:rPr>
          <w:sz w:val="20"/>
          <w:szCs w:val="20"/>
          <w:color w:val="auto"/>
        </w:rPr>
      </w:pPr>
    </w:p>
    <w:p>
      <w:pPr>
        <w:ind w:right="320" w:firstLine="255"/>
        <w:spacing w:after="0" w:line="282" w:lineRule="auto"/>
        <w:rPr>
          <w:sz w:val="20"/>
          <w:szCs w:val="20"/>
          <w:color w:val="auto"/>
        </w:rPr>
      </w:pPr>
      <w:r>
        <w:rPr>
          <w:rFonts w:ascii="Times New Roman" w:cs="Times New Roman" w:eastAsia="Times New Roman" w:hAnsi="Times New Roman"/>
          <w:sz w:val="18"/>
          <w:szCs w:val="18"/>
          <w:color w:val="auto"/>
        </w:rPr>
        <w:t>International franchise same store sales declined 0.4% in the first quarter of 2026 and increased 3.7% in the first quarter of 2025, each excluding the impact of foreign currency exchange rates.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 Gross Margin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3"/>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5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1,150.6</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1,112.1</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r>
      <w:tr>
        <w:trPr>
          <w:trHeight w:val="20"/>
        </w:trPr>
        <w:tc>
          <w:tcPr>
            <w:tcW w:w="5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40.4%</w:t>
            </w: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-25400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111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1111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related revenues. Components of consolidated cost of sales primarily include food and labor costs, as well as other costs including delivery, occupancy costs (including rent, telephone, utilities and depreciation) and insurance expense. Consolidated gross margin (which we define as revenues less cost of sales) increased $21.4 million, or 4.8%, in the first quarter of 2026, primarily due to higher global franchise royalties and advertising revenues (as discussed above), as well as gross margin dollar growth within supply chain, discussed below. Franchise revenues do not have a cost of sales component, so changes in these revenues have a disproportionate effect on gross margin. Additionally, as food basket prices fluctuate, revenues, cost of sales and gross margin percentages in our supply chain segment also fluctuate, and further, cost of sales, gross margins and gross margin percentages for our U.S. Company-owned stores also fluctuate.</w:t>
      </w:r>
    </w:p>
    <w:p>
      <w:pPr>
        <w:spacing w:after="0" w:line="81" w:lineRule="exact"/>
        <w:rPr>
          <w:sz w:val="20"/>
          <w:szCs w:val="20"/>
          <w:color w:val="auto"/>
        </w:rPr>
      </w:pPr>
    </w:p>
    <w:p>
      <w:pPr>
        <w:ind w:right="340" w:firstLine="255"/>
        <w:spacing w:after="0" w:line="266" w:lineRule="auto"/>
        <w:rPr>
          <w:sz w:val="20"/>
          <w:szCs w:val="20"/>
          <w:color w:val="auto"/>
        </w:rPr>
      </w:pPr>
      <w:r>
        <w:rPr>
          <w:rFonts w:ascii="Times New Roman" w:cs="Times New Roman" w:eastAsia="Times New Roman" w:hAnsi="Times New Roman"/>
          <w:sz w:val="18"/>
          <w:szCs w:val="18"/>
          <w:color w:val="auto"/>
        </w:rPr>
        <w:t>As a percentage of revenues, consolidated gross margin increased 0.6 percentage points to 40.4% in the first quarter of 2026 from 39.8% in the first quarter of 2025. U.S. Company-owned store gross margin decreased 3.8 percentage points in the first quarter of 2026, and supply chain gross margin increased 0.6 percentage points in the first quarter of 2026. Changes in the significant components of gross margin are described in more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Company-Owned Store Gross Margin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7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6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84.0%</w:t>
            </w:r>
          </w:p>
        </w:tc>
      </w:tr>
      <w:tr>
        <w:trPr>
          <w:trHeight w:val="20"/>
        </w:trPr>
        <w:tc>
          <w:tcPr>
            <w:tcW w:w="5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Store gross margin</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1111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jc w:val="both"/>
        <w:ind w:right="80" w:firstLine="255"/>
        <w:spacing w:after="0" w:line="266" w:lineRule="auto"/>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decreased $4.6 million, or 31.6%, in the first quarter of 2026. As a percentage of store revenues, U.S. Company-owned store gross margin decreased 3.8 percentage points in the first quarter of 2026. These changes in gross margin as a percentage of revenues are discussed in additional detail below.</w:t>
      </w:r>
    </w:p>
    <w:p>
      <w:pPr>
        <w:spacing w:after="0" w:line="68" w:lineRule="exact"/>
        <w:rPr>
          <w:sz w:val="20"/>
          <w:szCs w:val="20"/>
          <w:color w:val="auto"/>
        </w:rPr>
      </w:pPr>
    </w:p>
    <w:p>
      <w:pPr>
        <w:ind w:left="640" w:hanging="30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increased 0.7 percentage points to 30.4% in the first quarter of 2026, driven by the increase in the food basket pricing to stores.</w:t>
      </w:r>
    </w:p>
    <w:p>
      <w:pPr>
        <w:spacing w:after="0" w:line="117" w:lineRule="exact"/>
        <w:rPr>
          <w:rFonts w:ascii="Times New Roman" w:cs="Times New Roman" w:eastAsia="Times New Roman" w:hAnsi="Times New Roman"/>
          <w:sz w:val="18"/>
          <w:szCs w:val="18"/>
          <w:color w:val="auto"/>
        </w:rPr>
      </w:pPr>
    </w:p>
    <w:p>
      <w:pPr>
        <w:ind w:left="640" w:hanging="303"/>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1.3 percentage points to 33.2% in the first quarter of 2026, due to higher wage rates.</w:t>
      </w:r>
    </w:p>
    <w:p>
      <w:pPr>
        <w:spacing w:after="0" w:line="117" w:lineRule="exact"/>
        <w:rPr>
          <w:rFonts w:ascii="Times New Roman" w:cs="Times New Roman" w:eastAsia="Times New Roman" w:hAnsi="Times New Roman"/>
          <w:sz w:val="18"/>
          <w:szCs w:val="18"/>
          <w:color w:val="auto"/>
        </w:rPr>
      </w:pPr>
    </w:p>
    <w:p>
      <w:pPr>
        <w:ind w:left="640" w:right="40" w:hanging="303"/>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costs drove the remaining decrease in U.S. Company-owned store gross margin as a percentage of revenues in the first quarter of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 Gross Margin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55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w:t>
            </w:r>
          </w:p>
        </w:tc>
      </w:tr>
      <w:tr>
        <w:trPr>
          <w:trHeight w:val="20"/>
        </w:trPr>
        <w:tc>
          <w:tcPr>
            <w:tcW w:w="55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9"/>
        </w:trPr>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c>
          <w:tcPr>
            <w:tcW w:w="5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1111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1111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3" w:lineRule="exact"/>
        <w:rPr>
          <w:sz w:val="20"/>
          <w:szCs w:val="20"/>
          <w:color w:val="auto"/>
        </w:rPr>
      </w:pPr>
    </w:p>
    <w:p>
      <w:pPr>
        <w:jc w:val="both"/>
        <w:ind w:right="200" w:firstLine="255"/>
        <w:spacing w:after="0" w:line="266" w:lineRule="auto"/>
        <w:rPr>
          <w:sz w:val="20"/>
          <w:szCs w:val="20"/>
          <w:color w:val="auto"/>
        </w:rPr>
      </w:pPr>
      <w:r>
        <w:rPr>
          <w:rFonts w:ascii="Times New Roman" w:cs="Times New Roman" w:eastAsia="Times New Roman" w:hAnsi="Times New Roman"/>
          <w:sz w:val="18"/>
          <w:szCs w:val="18"/>
          <w:color w:val="auto"/>
        </w:rPr>
        <w:t>Supply chain gross margin increased $7.0 million, or 9.0%, in the first quarter of 2026. As a percentage of supply chain revenues, supply chain gross margin increased 0.6 percentage points in the first quarter of 2026. These changes in gross margin as a percentage of revenues are discussed in additional detail below.</w:t>
      </w:r>
    </w:p>
    <w:p>
      <w:pPr>
        <w:spacing w:after="0" w:line="68" w:lineRule="exact"/>
        <w:rPr>
          <w:sz w:val="20"/>
          <w:szCs w:val="20"/>
          <w:color w:val="auto"/>
        </w:rPr>
      </w:pPr>
    </w:p>
    <w:p>
      <w:pPr>
        <w:ind w:left="940" w:right="60" w:hanging="303"/>
        <w:spacing w:after="0" w:line="282" w:lineRule="auto"/>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decreased 0.4 percentage points to 70.0% in the first quarter of 2026, driven primarily by procurement productivity, partially offset by the increase in the cost of our food basket.</w:t>
      </w:r>
    </w:p>
    <w:p>
      <w:pPr>
        <w:spacing w:after="0" w:line="53"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were 9.2% in both the first quarter of 2026 and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firstLine="255"/>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$2.3 million, or 2.1%, in the first quarter of 2026, primarily due to higher professional fees and computer expenses. These increases were partially offset by approximately $5 million in severance expenses associated with an organizational realignment that took place in the first quarter of 2025 that did not reoccur in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Franchise Advertising Expenses</w:t>
      </w:r>
    </w:p>
    <w:p>
      <w:pPr>
        <w:spacing w:after="0" w:line="135"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U.S. franchise advertising expenses increased $6.6 million, or 5.3%, in the first quarter of 2026, consistent with the increase in U.S. franchise advertising revenues, as discussed above.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Assets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first quarter of 2026, we recorded a $7.8 million pre-tax realized gain associated with the sale of our fully depreciated corporate aircraft.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135" w:lineRule="exact"/>
        <w:rPr>
          <w:sz w:val="20"/>
          <w:szCs w:val="20"/>
          <w:color w:val="auto"/>
        </w:rPr>
      </w:pPr>
    </w:p>
    <w:p>
      <w:pPr>
        <w:ind w:right="120" w:firstLine="255"/>
        <w:spacing w:after="0" w:line="289" w:lineRule="auto"/>
        <w:rPr>
          <w:sz w:val="20"/>
          <w:szCs w:val="20"/>
          <w:color w:val="auto"/>
        </w:rPr>
      </w:pPr>
      <w:r>
        <w:rPr>
          <w:rFonts w:ascii="Times New Roman" w:cs="Times New Roman" w:eastAsia="Times New Roman" w:hAnsi="Times New Roman"/>
          <w:sz w:val="17"/>
          <w:szCs w:val="17"/>
          <w:color w:val="auto"/>
        </w:rPr>
        <w:t>Other expense was $6.0 million in the first quarter of 2026, while other income was $24.0 million in the first quarter of 2025, each representing the net unrealized losses and gains on our investment in DPC Dash. The recorded amount of our investment is based on the active exchange quoted price for the equity security. Additional information related to our investment in DPC Dash is included in Note 5 to our condensed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expense, net increased $2.1 million, or 5.0%, in the first quarter of 2026, driven primarily by lower interest income on our cash equivalents.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weighted average borrowing rate increased to 3.9% in the first quarter of 2026 from 3.8% in the first quarter of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360" w:firstLine="255"/>
        <w:spacing w:after="0" w:line="261" w:lineRule="auto"/>
        <w:rPr>
          <w:sz w:val="20"/>
          <w:szCs w:val="20"/>
          <w:color w:val="auto"/>
        </w:rPr>
      </w:pPr>
      <w:r>
        <w:rPr>
          <w:rFonts w:ascii="Times New Roman" w:cs="Times New Roman" w:eastAsia="Times New Roman" w:hAnsi="Times New Roman"/>
          <w:sz w:val="18"/>
          <w:szCs w:val="18"/>
          <w:color w:val="auto"/>
        </w:rPr>
        <w:t>Provision for income taxes decreased $2.0 million, or 4.7%, in the first quarter of 2026 due to lower income before provision for income taxes. The effective tax rate increased to 22.6% during the first quarter of 2026 as compared to 22.3% in the first quarter of 2025.</w:t>
      </w: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Income from Operations</w:t>
      </w:r>
    </w:p>
    <w:p>
      <w:pPr>
        <w:spacing w:after="0" w:line="121"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Beginning in the first quarter of 2026, we evaluate the performance of our reportable segments and allocate resources to them based on Segment Adjusted Income from Operations which represents income from operations for the reportable segments, excluding gains and losses from the sale of assets, refranchising gains and losses and certain corporate administrative costs that have not been allocated to a reportable segment. Our chief operating decision maker uses Segment Adjusted Income from Operations to determine future business objectives and targets and for long-range planning for the reportable segments, as well as to evaluate their operating performance. Segment Adjusted Income from Operations for each of our reportable segments is summarized in the table below. Prior year amounts have been recast to reflect this change in the measure of segment profit used by our chief operating decision maker.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3"/>
        </w:trPr>
        <w:tc>
          <w:tcPr>
            <w:tcW w:w="46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00" w:type="dxa"/>
            <w:vAlign w:val="bottom"/>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stores</w:t>
            </w:r>
          </w:p>
        </w:tc>
        <w:tc>
          <w:tcPr>
            <w:tcW w:w="3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Supply chain</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franchise</w:t>
            </w:r>
          </w:p>
        </w:tc>
        <w:tc>
          <w:tcPr>
            <w:tcW w:w="3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FF0FC"/>
          </w:tcPr>
          <w:p>
            <w:pPr>
              <w:spacing w:after="0"/>
              <w:rPr>
                <w:sz w:val="18"/>
                <w:szCs w:val="18"/>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Stores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U.S. stores Segment Adjusted Income from Operations increased $3.5 million, or 2.7%, in the first quarter of 2026, primarily due to higher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royalties and fees revenues, but was partially offset by the $4.6 million decrease in U.S. Company-owned store gross margin discussed above.</w:t>
      </w:r>
    </w:p>
    <w:p>
      <w:pPr>
        <w:spacing w:after="0" w:line="99" w:lineRule="exact"/>
        <w:rPr>
          <w:sz w:val="20"/>
          <w:szCs w:val="20"/>
          <w:color w:val="auto"/>
        </w:rPr>
      </w:pPr>
    </w:p>
    <w:p>
      <w:pPr>
        <w:jc w:val="both"/>
        <w:ind w:right="420" w:firstLine="255"/>
        <w:spacing w:after="0" w:line="266" w:lineRule="auto"/>
        <w:rPr>
          <w:sz w:val="20"/>
          <w:szCs w:val="20"/>
          <w:color w:val="auto"/>
        </w:rPr>
      </w:pPr>
      <w:r>
        <w:rPr>
          <w:rFonts w:ascii="Times New Roman" w:cs="Times New Roman" w:eastAsia="Times New Roman" w:hAnsi="Times New Roman"/>
          <w:sz w:val="18"/>
          <w:szCs w:val="18"/>
          <w:color w:val="auto"/>
        </w:rPr>
        <w:t>U.S. franchise revenues do not have a cost of sales component, so changes in these revenues have a disproportionate effect on U.S. stores Segment Adjusted Income from Operations. U.S. franchise advertising costs are accrued and expensed when the related U.S. franchise advertising revenues are recognized and had no impact on U.S. stores Segment Adjusted Income from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Supply Chain</w:t>
      </w:r>
    </w:p>
    <w:p>
      <w:pPr>
        <w:spacing w:after="0" w:line="119" w:lineRule="exact"/>
        <w:rPr>
          <w:sz w:val="20"/>
          <w:szCs w:val="20"/>
          <w:color w:val="auto"/>
        </w:rPr>
      </w:pPr>
    </w:p>
    <w:p>
      <w:pPr>
        <w:jc w:val="both"/>
        <w:ind w:right="120" w:firstLine="255"/>
        <w:spacing w:after="0" w:line="282" w:lineRule="auto"/>
        <w:rPr>
          <w:sz w:val="20"/>
          <w:szCs w:val="20"/>
          <w:color w:val="auto"/>
        </w:rPr>
      </w:pPr>
      <w:r>
        <w:rPr>
          <w:rFonts w:ascii="Times New Roman" w:cs="Times New Roman" w:eastAsia="Times New Roman" w:hAnsi="Times New Roman"/>
          <w:sz w:val="18"/>
          <w:szCs w:val="18"/>
          <w:color w:val="auto"/>
        </w:rPr>
        <w:t>Supply chain Segment Adjusted Income from Operations increased $1.9 million, or 3.0%, in the first quarter of 2026, primarily due to the $7.0 million increase in supply chain gross margin discussed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International Franchise</w:t>
      </w:r>
    </w:p>
    <w:p>
      <w:pPr>
        <w:spacing w:after="0" w:line="119" w:lineRule="exact"/>
        <w:rPr>
          <w:sz w:val="20"/>
          <w:szCs w:val="20"/>
          <w:color w:val="auto"/>
        </w:rPr>
      </w:pPr>
    </w:p>
    <w:p>
      <w:pPr>
        <w:jc w:val="both"/>
        <w:ind w:right="120" w:firstLine="255"/>
        <w:spacing w:after="0" w:line="257" w:lineRule="auto"/>
        <w:rPr>
          <w:sz w:val="20"/>
          <w:szCs w:val="20"/>
          <w:color w:val="auto"/>
        </w:rPr>
      </w:pPr>
      <w:r>
        <w:rPr>
          <w:rFonts w:ascii="Times New Roman" w:cs="Times New Roman" w:eastAsia="Times New Roman" w:hAnsi="Times New Roman"/>
          <w:sz w:val="18"/>
          <w:szCs w:val="18"/>
          <w:color w:val="auto"/>
        </w:rPr>
        <w:t>International franchise Segment Adjusted Income from Operations increased $5.8 million, or 9.1%, in the first quarter of 2026, primarily due to higher international franchise royalties and fees revenues, as discussed above. International franchise revenues do not have a cost of sales component, so changes in these revenues have a disproportionate effect on international franchise Segment Adjusted Income from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281"/>
        <w:spacing w:after="0" w:line="256"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As of March 22, 2026, we had working capital of $171.0 million, excluding restricted cash and cash equivalents of $183.6 million, advertising fund assets, restricted, of $115.8 million and advertising fund liabilities of $113.4 million. Working capital includes total unrestricted cash and cash equivalents of $232.9 million.</w:t>
      </w:r>
    </w:p>
    <w:p>
      <w:pPr>
        <w:spacing w:after="0" w:line="93" w:lineRule="exact"/>
        <w:rPr>
          <w:sz w:val="20"/>
          <w:szCs w:val="20"/>
          <w:color w:val="auto"/>
        </w:rPr>
      </w:pPr>
    </w:p>
    <w:p>
      <w:pPr>
        <w:ind w:right="20" w:firstLine="281"/>
        <w:spacing w:after="0" w:line="255" w:lineRule="auto"/>
        <w:rPr>
          <w:sz w:val="20"/>
          <w:szCs w:val="20"/>
          <w:color w:val="auto"/>
        </w:rPr>
      </w:pPr>
      <w:r>
        <w:rPr>
          <w:rFonts w:ascii="Times New Roman" w:cs="Times New Roman" w:eastAsia="Times New Roman" w:hAnsi="Times New Roman"/>
          <w:sz w:val="18"/>
          <w:szCs w:val="18"/>
          <w:color w:val="auto"/>
        </w:rPr>
        <w:t>Our primary sources of liquidity are cash flows from operations and availability of borrowings under our variable funding notes. During the first quarter of 2026, we experienced an increase in both U.S. and international retail sales (excluding foreign currency impact). Additionally, both our U.S. and international businesses grew store counts during the first quarter of 2026. These factors contributed to our continued ability to generate positive operating cash flows. In addition to our cash flows from operations, we have a variable funding note facility. Our Series 2025-1 Variable Funding Senior Secured Notes, Class A-1 Notes (the “2025 Variable Funding Notes”), allows for advances of up to $320.0 million and issuance of certain other credit instruments, including letters of credit. The letters of credit primarily relate to our casualty insurance programs. As of March 22, 2026, we had no outstanding borrowings and $263.6 million of available borrowing capacity under our 2025 Variable Funding Notes, net of letters of credit issued of $56.4 million.</w:t>
      </w:r>
    </w:p>
    <w:p>
      <w:pPr>
        <w:spacing w:after="0" w:line="94"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any excess cash from our refinancing and recapitalization transactions and available borrowings under our 2025 Variable Funding Notes to, among other things, fund working capital requirements, invest in our core business and other strategic opportunities, repay outstanding borrowings under our securitized debt, pay dividends and repurchase and retire shares of our common stock.</w:t>
      </w:r>
    </w:p>
    <w:p>
      <w:pPr>
        <w:spacing w:after="0" w:line="85" w:lineRule="exact"/>
        <w:rPr>
          <w:sz w:val="20"/>
          <w:szCs w:val="20"/>
          <w:color w:val="auto"/>
        </w:rPr>
      </w:pPr>
    </w:p>
    <w:p>
      <w:pPr>
        <w:ind w:firstLine="281"/>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could be adversely affected by the occurrence of any of the events described under “Risk Factors” in our 2025 Form 10-K. There can be no assurance that our business will generate sufficient cash flows from operations or that future borrowings will be available under our 2025 Variable Funding Notes or otherwise to enable us to service our indebtedness, or to make anticipated capital expenditures. Our future operating performance and our ability to service, extend or refinance our notes and to service, extend or refinance our 2025 Variable Funding Notes will be subject to future economic conditions and to financial, business and other factors, many of which are beyond our control.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As of March 22, 2026, we had $133.7 million of restricted cash and cash equivalents held for future principal and interest payments and other working capital requirements of our asset-backed securitization structure, $49.7 million of restricted cash equivalents held in a three-month interest reserve as required by the related debt agreements and $0.2 million of other restricted cash for a total of $183.6 million of restricted cash and cash equivalents. As of March 22, 2026, we also held $82.8 million of advertising fund restricted cash and cash equivalents which can only be used for activities that promote the Domino’s brand.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As of March 22, 2026, we had approximately $4.88 billion of long-term debt. As of March 22, 2026, our fixed rate notes from the recapitalization and refinancing transactions we completed in 2025, 2021, 2019, 2018 and 2017 had original scheduled principal payments of $49.3 million in 2026, $1.34 billion in 2027, $836.4 million in 2028, $647.8 million in 2029, $495.0 million in 2030, $927.5 million in 2031 and $470.0 million in 2032. However, in accordance with our debt agreements, the payment of principal on the 2025 Five-Year Notes and the 2025 Seven-Year Notes may be suspended if either the Holdco Leverage Ratio or Senior Leverage Ratio is less than or equal to 5.5x total debt to either Consolidated Adjusted EBITDA or Securitized Net Cash Flow, each as defined in the indenture governing the securitized debt, and no catch-up provisions are applicable. In accordance with our debt agreements, the payment of principal on the 2021 7.5-Year Notes, 2021 Ten-Year Notes, 2019 Ten-Year Notes, 2018 9.25-Year Notes and 2017 Ten-Year Notes may be suspended if the Holdco Leverage Ratio is less than or equal to 5.0x total debt to Consolidated Adjusted EBITDA, each as defined in the indenture governing the securitized debt, and no catch-up provisions are applicable. As of the end of the first quarter of 2026 and the fourth quarter of 2025, we satisfied the non-amortization tests for each respective series of notes, and accordingly, the outstanding principal amounts of the notes have been classified as long-term debt in the condensed consolidated balance sheet as of March 22, 2026 and December 28, 2025.</w:t>
      </w:r>
    </w:p>
    <w:p>
      <w:pPr>
        <w:spacing w:after="0" w:line="84" w:lineRule="exact"/>
        <w:rPr>
          <w:sz w:val="20"/>
          <w:szCs w:val="20"/>
          <w:color w:val="auto"/>
        </w:rPr>
      </w:pPr>
    </w:p>
    <w:p>
      <w:pPr>
        <w:jc w:val="both"/>
        <w:ind w:right="160" w:firstLine="255"/>
        <w:spacing w:after="0" w:line="255" w:lineRule="auto"/>
        <w:rPr>
          <w:sz w:val="20"/>
          <w:szCs w:val="20"/>
          <w:color w:val="auto"/>
        </w:rPr>
      </w:pPr>
      <w:r>
        <w:rPr>
          <w:rFonts w:ascii="Times New Roman" w:cs="Times New Roman" w:eastAsia="Times New Roman" w:hAnsi="Times New Roman"/>
          <w:sz w:val="18"/>
          <w:szCs w:val="18"/>
          <w:color w:val="auto"/>
        </w:rPr>
        <w:t>The anticipated repayment date for the 2018 9.25-Year Notes and the 2017 Ten-Year Notes is July 2027. The Company expects to refinance the 2018 9.25-Year Notes and the 2017 Ten-Year Notes prior to the anticipated repayment date. If the Company does not refinance the 2018 9.25-Year Notes and the 2017 Ten-Year Notes prior to the anticipated repayment date, additional interest of at least 5% per annum will accrue and the Company’s cash flows other than a weekly management fee to cover certain operating expenses would be directed to the repayment of the securitized debt.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3" w:name="page24"/>
    <w:bookmarkEnd w:id="23"/>
    <w:p>
      <w:pPr>
        <w:ind w:right="260" w:firstLine="255"/>
        <w:spacing w:after="0" w:line="266"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each as defined in the indenture governing the securitized debt. In the event that certain covenants are not met, the notes may become due and payable on an accelerated schedule.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135" w:lineRule="exact"/>
        <w:rPr>
          <w:sz w:val="20"/>
          <w:szCs w:val="20"/>
          <w:color w:val="auto"/>
        </w:rPr>
      </w:pPr>
    </w:p>
    <w:p>
      <w:pPr>
        <w:ind w:right="280" w:firstLine="255"/>
        <w:spacing w:after="0" w:line="282"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variable funding notes.</w:t>
      </w:r>
    </w:p>
    <w:p>
      <w:pPr>
        <w:spacing w:after="0" w:line="67"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During the first quarter of 2026, we repurchased and retired 188,304 shares of our common stock under our Board of Directors-approved share repurchase program for a total of approximately $75.1 million. As of March 22, 2026, we had a total remaining authorized amount for share repurchases of approximately $384.6 million. Subsequent to the end of the first quarter of 2026 and through April 21, 2026, we repurchased and retired an additional 257,545 shares of common stock for a total of approximately $94.4 million. Subsequent to the end of the first quarter of 2026, on April 21, 2026, our Board of Directors authorized an additional share repurchase program to repurchase up to $1.0 billion of our common stock, in addition to the $290.2 million that was previously remaining for a total authorization of $1.29 billion for future share repurchases.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35"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On February 18, 2026, our Board of Directors declared a $1.99 per share quarterly dividend on our outstanding common stock for shareholders of record as of March 13, 2026, which was paid on March 30, 2026. We had approximately $68.5 million accrued for common stock dividends at March 22, 2026. Subsequent to the end of the first quarter of 2026, on April 21, 2026, our Board of Directors declared a $1.99 per share quarterly dividend on our outstanding common stock for shareholders of record as of June 15, 2026, to be paid on June 30, 2026.</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73"/>
        </w:trPr>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2025</w:t>
            </w:r>
          </w:p>
        </w:tc>
      </w:tr>
      <w:tr>
        <w:trPr>
          <w:trHeight w:val="210"/>
        </w:trPr>
        <w:tc>
          <w:tcPr>
            <w:tcW w:w="69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8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80" w:type="dxa"/>
            <w:vAlign w:val="bottom"/>
            <w:gridSpan w:val="2"/>
          </w:tcPr>
          <w:p>
            <w:pPr>
              <w:jc w:val="right"/>
              <w:ind w:right="122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w:t>
            </w:r>
          </w:p>
        </w:tc>
        <w:tc>
          <w:tcPr>
            <w:tcW w:w="3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r>
      <w:tr>
        <w:trPr>
          <w:trHeight w:val="209"/>
        </w:trPr>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80" w:type="dxa"/>
            <w:vAlign w:val="bottom"/>
            <w:tcBorders>
              <w:top w:val="single" w:sz="8" w:color="CFF0FC"/>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2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top w:val="single" w:sz="8" w:color="CFF0FC"/>
            </w:tcBorders>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3"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decreased $17.1 million in the first quarter of 2026, primarily as a result of the negative impact of changes in operating assets and liabilities. The negative impact of changes in operating assets and liabilities of $33.5 million primarily related to the timing of payments on accounts payable and accrued liabilities in the first quarter of 2026 as compared to the first quarter of 2025. This increase was partially offset by net income, excluding non-cash adjustments. Net income decreased $9.8 million, however, this decrease was more than offset by the positive impact of non-cash adjustments of $26.8 million (primarily representing the changes in the pre-tax unrealized losses and gains associated with the remeasurement of our investment in DPC Dash and the pre-tax realized gain associated with the sale of our fully depreciated corporate aircraft), resulting in an overall increase to cash provided by operating activities in the first quarter of 2026 as compared to the first quarter of 2025 of $17.0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60" w:firstLine="255"/>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$8.1 million in the first quarter of 2026, which primarily consisted of $15.0 million of capital expenditures (driven primarily by investments in consumer and store technology, supply chain centers and corporate store operations). This use of cash was partially offset by the net proceeds of $7.8 million associated with the sale of our fully depreciated corporate aircraft.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$88.4 million in the first quarter of 2026, which included the repurchase of approximately $75.1 million in common stock under our Board of Directors-approved share repurchase program, tax payments for the vesting of restricted stock units of $12.9 million, dividend payments of $1.5 million and repayments of principal amounts related to our finance leases and other financing obligations of $0.8 million. These uses of cash were partially offset by proceeds from the exercise of stock options of $1.9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320" w:firstLine="255"/>
        <w:spacing w:after="0" w:line="255" w:lineRule="auto"/>
        <w:rPr>
          <w:sz w:val="20"/>
          <w:szCs w:val="20"/>
          <w:color w:val="auto"/>
        </w:rPr>
      </w:pPr>
      <w:r>
        <w:rPr>
          <w:rFonts w:ascii="Times New Roman" w:cs="Times New Roman" w:eastAsia="Times New Roman" w:hAnsi="Times New Roman"/>
          <w:sz w:val="18"/>
          <w:szCs w:val="18"/>
          <w:color w:val="auto"/>
        </w:rPr>
        <w:t>For a description of the Company’s critical accounting estimates, refer to “Part II—Item 7—Management’s Discussion and Analysis of Financial Condition and Results of Operations” in the 2025 Form 10-K. The Company considers its most significant accounting estimates to be long-lived assets, casualty insurance reserves and income taxes. There have been no material changes to the Company’s critical accounting estimates since December 28,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in our filings with the Securities and Exchange Commission, including under the section headed “Risk Factors” in our 2025 Form 10-K for the fiscal year ended December 28, 2025. Actual results may differ materially from those expressed or implied in the forward-looking statements as a result of various factors, including but not limited to: our substantial indebtedness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including through our participation in the third-party order aggregation marketplace; labor shortages or changes in operating expenses resulting from increases in prices of food (particularly cheese), fuel and other commodity costs, labor, utilities, insurance, employee benefits and other operating costs or negative economic conditions; the effectiveness of our advertising, operations and promotional initiatives; shortages, interruptions or disruptions in the supply or delivery of fresh food products and store equipment; the additional risks our international operations subject us to, which may differ in each country in which we and our franchisees do business; the dependence of our earnings and business growth strategy on the success of our franchisees; our ability and that of our franchisees to successfully operate in the current and future credit environment; the impact of social media, the rise of artificial intelligence-generated content, or a boycott on our business, brand and reputation; the impact of new or improved technologies , including artificial intelligence,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or regulation, including changes in laws and regulations regarding information privacy, payment methods, advertising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geopolitical or reputational considerations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135" w:lineRule="exact"/>
        <w:rPr>
          <w:sz w:val="20"/>
          <w:szCs w:val="20"/>
          <w:color w:val="auto"/>
        </w:rPr>
      </w:pPr>
    </w:p>
    <w:p>
      <w:pPr>
        <w:ind w:right="260" w:firstLine="255"/>
        <w:spacing w:after="0" w:line="261"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refinancings and recapitalizations of our business, we have issued fixed rate notes and entered into variable funding notes, and, at March 22, 2026, we are exposed to interest rate risk on borrowings under our 2025 Variable Funding Notes. As of March 22, 2026, we did not have any outstanding borrowings under our 2025 Variable Funding Notes.</w:t>
      </w:r>
    </w:p>
    <w:p>
      <w:pPr>
        <w:spacing w:after="0" w:line="85"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8"/>
          <w:szCs w:val="18"/>
          <w:color w:val="auto"/>
        </w:rPr>
        <w:t>Our 2025 Variable Funding Notes bear interest at fluctuating interest rates based on the Secured Overnight Financing Rate, plus a spread adjustment. Accordingly, a rising interest rate environment could result in higher interest expense due on borrowings under our 2025 Variable Funding Notes, in which event we may have difficulties making interest payments and funding our other fixed costs, and our available cash flow for general corporate requirements may be adversely affected.</w:t>
      </w:r>
    </w:p>
    <w:p>
      <w:pPr>
        <w:spacing w:after="0" w:line="85" w:lineRule="exact"/>
        <w:rPr>
          <w:sz w:val="20"/>
          <w:szCs w:val="20"/>
          <w:color w:val="auto"/>
        </w:rPr>
      </w:pPr>
    </w:p>
    <w:p>
      <w:pPr>
        <w:ind w:right="300" w:firstLine="255"/>
        <w:spacing w:after="0" w:line="282" w:lineRule="auto"/>
        <w:rPr>
          <w:sz w:val="20"/>
          <w:szCs w:val="20"/>
          <w:color w:val="auto"/>
        </w:rPr>
      </w:pPr>
      <w:r>
        <w:rPr>
          <w:rFonts w:ascii="Times New Roman" w:cs="Times New Roman" w:eastAsia="Times New Roman" w:hAnsi="Times New Roman"/>
          <w:sz w:val="18"/>
          <w:szCs w:val="18"/>
          <w:color w:val="auto"/>
        </w:rPr>
        <w:t>Our fixed-rate debt exposes us to changes in market interest rates reflected in the fair value of the debt and to the risk that the Company may need to refinance maturing debt with new debt at a higher rate.</w:t>
      </w:r>
    </w:p>
    <w:p>
      <w:pPr>
        <w:spacing w:after="0" w:line="67"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We are exposed to market risks from changes in food and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35"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7.0% of our total revenues in the first quarter of 2026 and approximately 6.8% of our total revenues in the first quarter of 2025 were derived from our international franchise segment, a majority of which were denominated in foreign currencies. We also operate dough production and distribution facilities in Canada, which generate revenues denominated in Canadian dollars. We do not enter into financial instruments to manage this foreign currency exchange risk. We estimate that a hypothetical 10% adverse change in the foreign currency rates for our international markets would have resulted in a negative impact on royalty revenues of approximately $7.2 million in the first quarter of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3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(the “Exchange Act”)) as of the end of the period covered by this report. Based on that evaluation, Mr. Weiner and Mr. Reddy concluded that the Company’s disclosure controls and procedures were effective.</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quarterly period ended March 22, 2026, there were no changes in the Company’s internal control over financial reporting as defined in Rules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13a-15(f) and 15d-15(f) that have materially affected or are reasonably likely to materially affect the Company’s internal control over financial reporting.</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5" w:lineRule="exact"/>
        <w:rPr>
          <w:sz w:val="20"/>
          <w:szCs w:val="20"/>
          <w:color w:val="auto"/>
        </w:rPr>
      </w:pPr>
    </w:p>
    <w:p>
      <w:pPr>
        <w:ind w:right="20" w:firstLine="255"/>
        <w:spacing w:after="0" w:line="266" w:lineRule="auto"/>
        <w:rPr>
          <w:sz w:val="20"/>
          <w:szCs w:val="20"/>
          <w:color w:val="auto"/>
        </w:rPr>
      </w:pPr>
      <w:r>
        <w:rPr>
          <w:rFonts w:ascii="Times New Roman" w:cs="Times New Roman" w:eastAsia="Times New Roman" w:hAnsi="Times New Roman"/>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In addition, we may occasionally be party to large claims, including class action suits.</w:t>
      </w:r>
    </w:p>
    <w:p>
      <w:pPr>
        <w:spacing w:after="0" w:line="8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8"/>
          <w:szCs w:val="18"/>
          <w:color w:val="auto"/>
        </w:rPr>
        <w:t>Litigation is subject to many uncertainties, and the outcome of individual litigated matters is unpredictable. These matters referenced above could be decided unfavorably to us and could require us to pay damages or make other expenditures in amounts or a range of amounts that cannot be estimated with accuracy. However, we do not believe these matters, individually or in the aggregate, will have a material adverse effect on the business or financial condition of the Company, and we expect that the established accruals adequately provide for the estimated resolution of such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There have been no material changes with respect to those risk factors previously disclosed in Item 1A “Risk Factors” in Part I of our 2025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0" w:type="dxa"/>
            <w:vAlign w:val="bottom"/>
          </w:tcPr>
          <w:p>
            <w:pPr>
              <w:spacing w:after="0"/>
              <w:rPr>
                <w:sz w:val="12"/>
                <w:szCs w:val="12"/>
                <w:color w:val="auto"/>
              </w:rPr>
            </w:pPr>
          </w:p>
        </w:tc>
        <w:tc>
          <w:tcPr>
            <w:tcW w:w="1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4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60" w:type="dxa"/>
            <w:vAlign w:val="bottom"/>
          </w:tcPr>
          <w:p>
            <w:pPr>
              <w:spacing w:after="0"/>
              <w:rPr>
                <w:sz w:val="12"/>
                <w:szCs w:val="12"/>
                <w:color w:val="auto"/>
              </w:rPr>
            </w:pPr>
          </w:p>
        </w:tc>
        <w:tc>
          <w:tcPr>
            <w:tcW w:w="1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9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4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60" w:type="dxa"/>
            <w:vAlign w:val="bottom"/>
          </w:tcPr>
          <w:p>
            <w:pPr>
              <w:spacing w:after="0"/>
              <w:rPr>
                <w:sz w:val="12"/>
                <w:szCs w:val="12"/>
                <w:color w:val="auto"/>
              </w:rPr>
            </w:pPr>
          </w:p>
        </w:tc>
        <w:tc>
          <w:tcPr>
            <w:tcW w:w="18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 (2)</w:t>
            </w:r>
          </w:p>
        </w:tc>
        <w:tc>
          <w:tcPr>
            <w:tcW w:w="0" w:type="dxa"/>
            <w:vAlign w:val="bottom"/>
          </w:tcPr>
          <w:p>
            <w:pPr>
              <w:spacing w:after="0"/>
              <w:rPr>
                <w:sz w:val="1"/>
                <w:szCs w:val="1"/>
                <w:color w:val="auto"/>
              </w:rPr>
            </w:pPr>
          </w:p>
        </w:tc>
      </w:tr>
      <w:tr>
        <w:trPr>
          <w:trHeight w:val="173"/>
        </w:trPr>
        <w:tc>
          <w:tcPr>
            <w:tcW w:w="2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60" w:type="dxa"/>
            <w:vAlign w:val="bottom"/>
          </w:tcPr>
          <w:p>
            <w:pPr>
              <w:spacing w:after="0"/>
              <w:rPr>
                <w:sz w:val="15"/>
                <w:szCs w:val="15"/>
                <w:color w:val="auto"/>
              </w:rPr>
            </w:pPr>
          </w:p>
        </w:tc>
        <w:tc>
          <w:tcPr>
            <w:tcW w:w="19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Program (2)</w:t>
            </w:r>
          </w:p>
        </w:tc>
        <w:tc>
          <w:tcPr>
            <w:tcW w:w="16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1"/>
        </w:trPr>
        <w:tc>
          <w:tcPr>
            <w:tcW w:w="260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Period #1 (December 29, 2025</w:t>
            </w:r>
          </w:p>
        </w:tc>
        <w:tc>
          <w:tcPr>
            <w:tcW w:w="120" w:type="dxa"/>
            <w:vAlign w:val="bottom"/>
            <w:shd w:val="clear" w:color="auto" w:fill="CFF0FC"/>
          </w:tcPr>
          <w:p>
            <w:pPr>
              <w:spacing w:after="0"/>
              <w:rPr>
                <w:sz w:val="16"/>
                <w:szCs w:val="16"/>
                <w:color w:val="auto"/>
              </w:rPr>
            </w:pPr>
          </w:p>
        </w:tc>
        <w:tc>
          <w:tcPr>
            <w:tcW w:w="1500" w:type="dxa"/>
            <w:vAlign w:val="bottom"/>
            <w:tcBorders>
              <w:top w:val="single" w:sz="8" w:color="auto"/>
            </w:tcBorders>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540" w:type="dxa"/>
            <w:vAlign w:val="bottom"/>
            <w:tcBorders>
              <w:top w:val="single" w:sz="8" w:color="auto"/>
            </w:tcBorders>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080" w:type="dxa"/>
            <w:vAlign w:val="bottom"/>
            <w:tcBorders>
              <w:top w:val="single" w:sz="8" w:color="auto"/>
            </w:tcBorders>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January 25, 2026)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4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418.24</w:t>
            </w:r>
          </w:p>
        </w:tc>
        <w:tc>
          <w:tcPr>
            <w:tcW w:w="24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459,681</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Period #2 (January 26, 2026</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February 22, 2026)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408.57</w:t>
            </w:r>
          </w:p>
        </w:tc>
        <w:tc>
          <w:tcPr>
            <w:tcW w:w="2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459,681</w:t>
            </w:r>
          </w:p>
        </w:tc>
        <w:tc>
          <w:tcPr>
            <w:tcW w:w="0" w:type="dxa"/>
            <w:vAlign w:val="bottom"/>
          </w:tcPr>
          <w:p>
            <w:pPr>
              <w:spacing w:after="0"/>
              <w:rPr>
                <w:sz w:val="1"/>
                <w:szCs w:val="1"/>
                <w:color w:val="auto"/>
              </w:rPr>
            </w:pPr>
          </w:p>
        </w:tc>
      </w:tr>
      <w:tr>
        <w:trPr>
          <w:trHeight w:val="198"/>
        </w:trPr>
        <w:tc>
          <w:tcPr>
            <w:tcW w:w="2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Period #3 (February 23, 2026</w:t>
            </w:r>
          </w:p>
        </w:tc>
        <w:tc>
          <w:tcPr>
            <w:tcW w:w="120" w:type="dxa"/>
            <w:vAlign w:val="bottom"/>
            <w:vMerge w:val="restart"/>
            <w:shd w:val="clear" w:color="auto" w:fill="CFF0FC"/>
          </w:tcPr>
          <w:p>
            <w:pPr>
              <w:spacing w:after="0"/>
              <w:rPr>
                <w:sz w:val="17"/>
                <w:szCs w:val="17"/>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191,353</w:t>
            </w:r>
          </w:p>
        </w:tc>
        <w:tc>
          <w:tcPr>
            <w:tcW w:w="4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398.81</w:t>
            </w:r>
          </w:p>
        </w:tc>
        <w:tc>
          <w:tcPr>
            <w:tcW w:w="400" w:type="dxa"/>
            <w:vAlign w:val="bottom"/>
            <w:vMerge w:val="restart"/>
            <w:shd w:val="clear" w:color="auto" w:fill="CFF0FC"/>
          </w:tcPr>
          <w:p>
            <w:pPr>
              <w:spacing w:after="0"/>
              <w:rPr>
                <w:sz w:val="17"/>
                <w:szCs w:val="17"/>
                <w:color w:val="auto"/>
              </w:rPr>
            </w:pPr>
          </w:p>
        </w:tc>
        <w:tc>
          <w:tcPr>
            <w:tcW w:w="2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188,304</w:t>
            </w:r>
          </w:p>
        </w:tc>
        <w:tc>
          <w:tcPr>
            <w:tcW w:w="400" w:type="dxa"/>
            <w:vAlign w:val="bottom"/>
            <w:vMerge w:val="restart"/>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384,583</w:t>
            </w:r>
          </w:p>
        </w:tc>
        <w:tc>
          <w:tcPr>
            <w:tcW w:w="100" w:type="dxa"/>
            <w:vAlign w:val="bottom"/>
            <w:vMerge w:val="restart"/>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March 22, 2026)</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500" w:type="dxa"/>
            <w:vAlign w:val="bottom"/>
            <w:tcBorders>
              <w:bottom w:val="single" w:sz="8" w:color="auto"/>
            </w:tcBorders>
            <w:vMerge w:val="continue"/>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CFF0FC"/>
            </w:tcBorders>
            <w:vMerge w:val="continue"/>
            <w:shd w:val="clear" w:color="auto" w:fill="CFF0FC"/>
          </w:tcPr>
          <w:p>
            <w:pPr>
              <w:spacing w:after="0"/>
              <w:rPr>
                <w:sz w:val="19"/>
                <w:szCs w:val="19"/>
                <w:color w:val="auto"/>
              </w:rPr>
            </w:pPr>
          </w:p>
        </w:tc>
        <w:tc>
          <w:tcPr>
            <w:tcW w:w="2080" w:type="dxa"/>
            <w:vAlign w:val="bottom"/>
            <w:tcBorders>
              <w:bottom w:val="single" w:sz="8" w:color="auto"/>
            </w:tcBorders>
            <w:vMerge w:val="continue"/>
            <w:shd w:val="clear" w:color="auto" w:fill="CFF0FC"/>
          </w:tcPr>
          <w:p>
            <w:pPr>
              <w:spacing w:after="0"/>
              <w:rPr>
                <w:sz w:val="19"/>
                <w:szCs w:val="19"/>
                <w:color w:val="auto"/>
              </w:rPr>
            </w:pPr>
          </w:p>
        </w:tc>
        <w:tc>
          <w:tcPr>
            <w:tcW w:w="40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194,066</w:t>
            </w:r>
          </w:p>
        </w:tc>
        <w:tc>
          <w:tcPr>
            <w:tcW w:w="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399.00</w:t>
            </w:r>
          </w:p>
        </w:tc>
        <w:tc>
          <w:tcPr>
            <w:tcW w:w="2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188,304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384,583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-170815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5,762 shares in the first quarter of 2026 were purchased as part of the Company’s employee stock payroll deduction plan at an average price of $405.06.</w:t>
      </w:r>
    </w:p>
    <w:p>
      <w:pPr>
        <w:spacing w:after="0" w:line="5" w:lineRule="exact"/>
        <w:rPr>
          <w:rFonts w:ascii="Times New Roman" w:cs="Times New Roman" w:eastAsia="Times New Roman" w:hAnsi="Times New Roman"/>
          <w:sz w:val="15"/>
          <w:szCs w:val="15"/>
          <w:color w:val="auto"/>
        </w:rPr>
      </w:pPr>
    </w:p>
    <w:p>
      <w:pPr>
        <w:ind w:left="460" w:right="220" w:hanging="452"/>
        <w:spacing w:after="0" w:line="239" w:lineRule="auto"/>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March 22, 2026, we had $384.6 million remaining under the $1.0 billion share repurchase authorization approved by our Board of Directors on February 21, 2024, for repurchases of shares of our common stock.</w:t>
      </w:r>
    </w:p>
    <w:p>
      <w:pPr>
        <w:spacing w:after="0" w:line="85" w:lineRule="exact"/>
        <w:rPr>
          <w:rFonts w:ascii="Times New Roman" w:cs="Times New Roman" w:eastAsia="Times New Roman" w:hAnsi="Times New Roman"/>
          <w:sz w:val="15"/>
          <w:szCs w:val="15"/>
          <w:color w:val="auto"/>
        </w:rPr>
      </w:pPr>
    </w:p>
    <w:p>
      <w:pPr>
        <w:ind w:left="460" w:right="20"/>
        <w:spacing w:after="0" w:line="23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Subsequent to the end of the first quarter of 2026 and through April 21, 2026, we repurchased and retired an additional 257,545 shares of common stock for a total of approximately $94.4 million. Subsequent to the end of the first quarter of 2026, on April 21, 2026, our Board of Directors authorized an additional share repurchase program to repurchase up to $1.0 billion of our common stock, in addition to the $290.2 million that was previously remaining for a total authorization of $1.29 billion for future share repurchases.</w:t>
      </w:r>
    </w:p>
    <w:p>
      <w:pPr>
        <w:spacing w:after="0" w:line="85" w:lineRule="exact"/>
        <w:rPr>
          <w:rFonts w:ascii="Times New Roman" w:cs="Times New Roman" w:eastAsia="Times New Roman" w:hAnsi="Times New Roman"/>
          <w:sz w:val="15"/>
          <w:szCs w:val="15"/>
          <w:color w:val="auto"/>
        </w:rPr>
      </w:pPr>
    </w:p>
    <w:p>
      <w:pPr>
        <w:ind w:left="460" w:right="80"/>
        <w:spacing w:after="0" w:line="26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jc w:val="both"/>
        <w:ind w:right="120" w:firstLine="255"/>
        <w:spacing w:after="0" w:line="257" w:lineRule="auto"/>
        <w:rPr>
          <w:sz w:val="20"/>
          <w:szCs w:val="20"/>
          <w:color w:val="auto"/>
        </w:rPr>
      </w:pPr>
      <w:r>
        <w:rPr>
          <w:rFonts w:ascii="Times New Roman" w:cs="Times New Roman" w:eastAsia="Times New Roman" w:hAnsi="Times New Roman"/>
          <w:sz w:val="18"/>
          <w:szCs w:val="18"/>
          <w:color w:val="auto"/>
        </w:rPr>
        <w:t>During the first quarter ended March 22, 2026, none of the Company’s directors or officers (as defined in Section 16 of the Exchange Act) adopted or terminated a “Rule 10b5-1 trading arrangement” or a “non-Rule 10b5-1 trading arrangement,” as each term is defined in Item 408(a) of Regulation S-K of the Exchange Act.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0200" w:type="dxa"/>
            <w:vAlign w:val="bottom"/>
            <w:gridSpan w:val="5"/>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20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956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 relating to Domino’s Pizza, Inc.</w:t>
            </w:r>
          </w:p>
        </w:tc>
        <w:tc>
          <w:tcPr>
            <w:tcW w:w="6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FF"/>
            </w:tcBorders>
            <w:shd w:val="clear" w:color="auto" w:fill="0000FF"/>
          </w:tcPr>
          <w:p>
            <w:pPr>
              <w:spacing w:after="0" w:line="20" w:lineRule="exact"/>
              <w:rPr>
                <w:sz w:val="1"/>
                <w:szCs w:val="1"/>
                <w:color w:val="auto"/>
              </w:rPr>
            </w:pPr>
          </w:p>
        </w:tc>
        <w:tc>
          <w:tcPr>
            <w:tcW w:w="430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Executive Officer pursuant to Section 1350, Chapter 63 of Title 18, United States Code, as adopted pursuant to Section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tcBorders>
              <w:right w:val="single" w:sz="8" w:color="0000FF"/>
            </w:tcBorders>
            <w:shd w:val="clear" w:color="auto" w:fill="0000FF"/>
          </w:tcPr>
          <w:p>
            <w:pPr>
              <w:spacing w:after="0" w:line="20" w:lineRule="exact"/>
              <w:rPr>
                <w:sz w:val="1"/>
                <w:szCs w:val="1"/>
                <w:color w:val="auto"/>
              </w:rPr>
            </w:pPr>
          </w:p>
        </w:tc>
        <w:tc>
          <w:tcPr>
            <w:tcW w:w="492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1350, Chapter 63 of Title 18, United States Code, as adopted pursuant to Section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1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 relating to Domino’s Pizza, Inc.</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0"/>
                <w:szCs w:val="20"/>
                <w:color w:val="auto"/>
              </w:rPr>
            </w:pPr>
          </w:p>
        </w:tc>
        <w:tc>
          <w:tcPr>
            <w:tcW w:w="10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32"/>
        <w:spacing w:after="0" w:line="511" w:lineRule="auto"/>
        <w:tabs>
          <w:tab w:leader="none" w:pos="10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0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DOMINO’S PIZZA, INC.</w:t>
            </w:r>
          </w:p>
        </w:tc>
      </w:tr>
      <w:tr>
        <w:trPr>
          <w:trHeight w:val="234"/>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4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Date: April 27, 2026</w:t>
            </w:r>
          </w:p>
        </w:tc>
        <w:tc>
          <w:tcPr>
            <w:tcW w:w="222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Sandeep Reddy</w:t>
            </w:r>
          </w:p>
        </w:tc>
      </w:tr>
      <w:tr>
        <w:trPr>
          <w:trHeight w:val="191"/>
        </w:trPr>
        <w:tc>
          <w:tcPr>
            <w:tcW w:w="36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Sandeep Reddy</w:t>
            </w:r>
          </w:p>
        </w:tc>
        <w:tc>
          <w:tcPr>
            <w:tcW w:w="16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600" w:type="dxa"/>
            <w:vAlign w:val="bottom"/>
          </w:tcPr>
          <w:p>
            <w:pPr>
              <w:spacing w:after="0"/>
              <w:rPr>
                <w:sz w:val="24"/>
                <w:szCs w:val="24"/>
                <w:color w:val="auto"/>
              </w:rPr>
            </w:pP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763"/>
        </w:trPr>
        <w:tc>
          <w:tcPr>
            <w:tcW w:w="36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29"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00" w:hanging="378"/>
        <w:spacing w:after="0" w:line="239" w:lineRule="auto"/>
        <w:tabs>
          <w:tab w:leader="none" w:pos="7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60" w:hanging="372"/>
        <w:spacing w:after="0" w:line="239" w:lineRule="auto"/>
        <w:tabs>
          <w:tab w:leader="none" w:pos="3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April 27, 2026</w:t>
            </w: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/s/ Russell J. Weiner</w:t>
            </w:r>
          </w:p>
        </w:tc>
      </w:tr>
      <w:tr>
        <w:trPr>
          <w:trHeight w:val="200"/>
        </w:trPr>
        <w:tc>
          <w:tcPr>
            <w:tcW w:w="19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7"/>
                <w:szCs w:val="17"/>
                <w:color w:val="auto"/>
              </w:rPr>
            </w:pPr>
          </w:p>
        </w:tc>
        <w:tc>
          <w:tcPr>
            <w:tcW w:w="70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Russell J. Weiner</w:t>
            </w:r>
          </w:p>
        </w:tc>
      </w:tr>
      <w:tr>
        <w:trPr>
          <w:trHeight w:val="258"/>
        </w:trPr>
        <w:tc>
          <w:tcPr>
            <w:tcW w:w="1920" w:type="dxa"/>
            <w:vAlign w:val="bottom"/>
          </w:tcPr>
          <w:p>
            <w:pPr>
              <w:spacing w:after="0"/>
              <w:rPr>
                <w:sz w:val="22"/>
                <w:szCs w:val="22"/>
                <w:color w:val="auto"/>
              </w:rPr>
            </w:pP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1445"/>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OF DOMINO’S PIZZA, INC.</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29"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20"/>
          <w:szCs w:val="20"/>
          <w:color w:val="auto"/>
        </w:rPr>
      </w:pPr>
    </w:p>
    <w:p>
      <w:pPr>
        <w:ind w:left="380" w:right="180" w:hanging="372"/>
        <w:spacing w:after="0" w:line="252" w:lineRule="auto"/>
        <w:tabs>
          <w:tab w:leader="none" w:pos="3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80" w:right="40" w:hanging="372"/>
        <w:spacing w:after="0" w:line="252" w:lineRule="auto"/>
        <w:tabs>
          <w:tab w:leader="none" w:pos="3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6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20"/>
          <w:szCs w:val="20"/>
          <w:color w:val="auto"/>
        </w:rPr>
      </w:pPr>
    </w:p>
    <w:p>
      <w:pPr>
        <w:ind w:left="76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ind w:left="760" w:right="10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760" w:right="200" w:hanging="378"/>
        <w:spacing w:after="0" w:line="239"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20"/>
          <w:szCs w:val="20"/>
          <w:color w:val="auto"/>
        </w:rPr>
      </w:pPr>
    </w:p>
    <w:p>
      <w:pPr>
        <w:ind w:left="380" w:right="60" w:hanging="372"/>
        <w:spacing w:after="0" w:line="239" w:lineRule="auto"/>
        <w:tabs>
          <w:tab w:leader="none" w:pos="3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20"/>
          <w:szCs w:val="20"/>
          <w:color w:val="auto"/>
        </w:rPr>
      </w:pPr>
    </w:p>
    <w:p>
      <w:pPr>
        <w:ind w:left="760" w:right="60" w:hanging="378"/>
        <w:spacing w:after="0" w:line="252" w:lineRule="auto"/>
        <w:tabs>
          <w:tab w:leader="none" w:pos="760"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760" w:right="360" w:hanging="378"/>
        <w:spacing w:after="0" w:line="246" w:lineRule="auto"/>
        <w:tabs>
          <w:tab w:leader="none" w:pos="7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April 27, 2026</w:t>
            </w: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/s/ Sandeep Reddy</w:t>
            </w:r>
          </w:p>
        </w:tc>
      </w:tr>
      <w:tr>
        <w:trPr>
          <w:trHeight w:val="200"/>
        </w:trPr>
        <w:tc>
          <w:tcPr>
            <w:tcW w:w="192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Date</w:t>
            </w:r>
          </w:p>
        </w:tc>
        <w:tc>
          <w:tcPr>
            <w:tcW w:w="2280" w:type="dxa"/>
            <w:vAlign w:val="bottom"/>
          </w:tcPr>
          <w:p>
            <w:pPr>
              <w:spacing w:after="0"/>
              <w:rPr>
                <w:sz w:val="17"/>
                <w:szCs w:val="17"/>
                <w:color w:val="auto"/>
              </w:rPr>
            </w:pPr>
          </w:p>
        </w:tc>
        <w:tc>
          <w:tcPr>
            <w:tcW w:w="70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Sandeep Reddy</w:t>
            </w:r>
          </w:p>
        </w:tc>
      </w:tr>
      <w:tr>
        <w:trPr>
          <w:trHeight w:val="258"/>
        </w:trPr>
        <w:tc>
          <w:tcPr>
            <w:tcW w:w="1920" w:type="dxa"/>
            <w:vAlign w:val="bottom"/>
          </w:tcPr>
          <w:p>
            <w:pPr>
              <w:spacing w:after="0"/>
              <w:rPr>
                <w:sz w:val="22"/>
                <w:szCs w:val="22"/>
                <w:color w:val="auto"/>
              </w:rPr>
            </w:pPr>
          </w:p>
        </w:tc>
        <w:tc>
          <w:tcPr>
            <w:tcW w:w="9320" w:type="dxa"/>
            <w:vAlign w:val="bottom"/>
            <w:gridSpan w:val="2"/>
          </w:tcPr>
          <w:p>
            <w:pPr>
              <w:ind w:left="228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1216"/>
        </w:trPr>
        <w:tc>
          <w:tcPr>
            <w:tcW w:w="19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7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March 22, 2026, as filed with the Securities and Exchange Commission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320" w:hanging="378"/>
        <w:spacing w:after="0" w:line="258" w:lineRule="auto"/>
        <w:tabs>
          <w:tab w:leader="none" w:pos="7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380" w:hanging="378"/>
        <w:spacing w:after="0" w:line="258" w:lineRule="auto"/>
        <w:tabs>
          <w:tab w:leader="none" w:pos="7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/s/ Russell J.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10795</wp:posOffset>
            </wp:positionV>
            <wp:extent cx="33515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22"/>
          <w:szCs w:val="22"/>
          <w:color w:val="auto"/>
        </w:rPr>
        <w:t>Russell J. Weiner</w:t>
      </w:r>
    </w:p>
    <w:p>
      <w:pPr>
        <w:ind w:left="29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27, 2026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March 22, 2026, as filed with the Securities and Exchange Commission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50" w:lineRule="exact"/>
        <w:rPr>
          <w:sz w:val="20"/>
          <w:szCs w:val="20"/>
          <w:color w:val="auto"/>
        </w:rPr>
      </w:pPr>
    </w:p>
    <w:p>
      <w:pPr>
        <w:ind w:left="760" w:right="320" w:hanging="378"/>
        <w:spacing w:after="0" w:line="258" w:lineRule="auto"/>
        <w:tabs>
          <w:tab w:leader="none" w:pos="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22"/>
          <w:szCs w:val="22"/>
          <w:color w:val="auto"/>
        </w:rPr>
      </w:pPr>
    </w:p>
    <w:p>
      <w:pPr>
        <w:ind w:left="760" w:right="380" w:hanging="378"/>
        <w:spacing w:after="0" w:line="258" w:lineRule="auto"/>
        <w:tabs>
          <w:tab w:leader="none" w:pos="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/s/ Sandeep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10795</wp:posOffset>
            </wp:positionV>
            <wp:extent cx="335153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22"/>
          <w:szCs w:val="22"/>
          <w:color w:val="auto"/>
        </w:rPr>
        <w:t>Sandeep Reddy</w:t>
      </w:r>
    </w:p>
    <w:p>
      <w:pPr>
        <w:ind w:left="29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27, 2026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7"/>
    </w:lvl>
  </w:abstractNum>
  <w:abstractNum w:abstractNumId="5">
    <w:nsid w:val="216231B"/>
    <w:multiLevelType w:val="hybridMultilevel"/>
    <w:lvl w:ilvl="0">
      <w:lvlJc w:val="left"/>
      <w:lvlText w:val="%1."/>
      <w:numFmt w:val="decimal"/>
      <w:start w:val="10"/>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04"/>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2026-04-27T05:32:09Z</dcterms:created>
  <dcterms:modified xsi:type="dcterms:W3CDTF">2026-04-27T05:32:09Z</dcterms:modified>
</cp:coreProperties>
</file>